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FCAD8">
      <w:pPr>
        <w:spacing w:line="600" w:lineRule="exact"/>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w:t>
      </w:r>
      <w:r>
        <w:rPr>
          <w:rFonts w:hint="eastAsia" w:ascii="方正小标宋简体" w:hAnsi="宋体" w:eastAsia="方正小标宋简体"/>
          <w:color w:val="000000"/>
          <w:sz w:val="44"/>
          <w:szCs w:val="32"/>
          <w:lang w:eastAsia="zh-CN"/>
        </w:rPr>
        <w:t>水稻种质资源信息平台运行维护管理规范</w:t>
      </w:r>
      <w:r>
        <w:rPr>
          <w:rFonts w:hint="eastAsia" w:ascii="方正小标宋简体" w:hAnsi="宋体" w:eastAsia="方正小标宋简体"/>
          <w:color w:val="000000"/>
          <w:sz w:val="44"/>
          <w:szCs w:val="32"/>
        </w:rPr>
        <w:t>》（征求意见稿）编制说明</w:t>
      </w:r>
    </w:p>
    <w:p w14:paraId="7545AED6">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p>
    <w:p w14:paraId="0D5136F0">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一、任务来源、起草单位、主要起草人</w:t>
      </w:r>
    </w:p>
    <w:p w14:paraId="7FB55DF0">
      <w:pPr>
        <w:ind w:firstLine="640" w:firstLineChars="200"/>
        <w:rPr>
          <w:rFonts w:ascii="仿宋_GB2312" w:hAnsi="宋体" w:eastAsia="仿宋_GB2312"/>
          <w:sz w:val="32"/>
          <w:szCs w:val="28"/>
        </w:rPr>
      </w:pPr>
      <w:r>
        <w:rPr>
          <w:rFonts w:hint="eastAsia" w:ascii="仿宋_GB2312" w:hAnsi="宋体" w:eastAsia="仿宋_GB2312"/>
          <w:sz w:val="32"/>
          <w:szCs w:val="28"/>
        </w:rPr>
        <w:t>根据《广西标准化协会关于下达2024年第十四批团体标准制修订项目计划的通知》（桂标协〔2024〕102号）文件精神，由广西壮族自治区农业科学院提出，广西壮族自治区农业科学院农业科技信息研究所、广西壮族自治区农业科学院水稻研究所、广西金点子信息科技有限公司、广西春之蓝农业科技有限公司等单位共同起草的团体标准《水稻种质资源信息平台数据安全管理规范》（项目编号：2024-1416）已获批立项。</w:t>
      </w:r>
    </w:p>
    <w:p w14:paraId="0355CC92">
      <w:pPr>
        <w:spacing w:before="100" w:beforeAutospacing="1" w:after="312" w:afterLines="100" w:line="500" w:lineRule="exact"/>
        <w:ind w:firstLine="640" w:firstLineChars="200"/>
        <w:textAlignment w:val="baseline"/>
        <w:rPr>
          <w:rFonts w:ascii="仿宋_GB2312" w:hAnsi="Calibri" w:eastAsia="仿宋_GB2312" w:cs="Calibri"/>
          <w:sz w:val="32"/>
          <w:szCs w:val="32"/>
        </w:rPr>
      </w:pPr>
      <w:r>
        <w:rPr>
          <w:rFonts w:hint="eastAsia" w:ascii="仿宋_GB2312" w:hAnsi="Calibri" w:eastAsia="仿宋_GB2312" w:cs="Calibri"/>
          <w:sz w:val="32"/>
          <w:szCs w:val="32"/>
        </w:rPr>
        <w:t>为高质量编制团体标准《</w:t>
      </w:r>
      <w:r>
        <w:rPr>
          <w:rFonts w:hint="eastAsia" w:ascii="仿宋_GB2312" w:hAnsi="Calibri" w:eastAsia="仿宋_GB2312" w:cs="Calibri"/>
          <w:sz w:val="32"/>
          <w:szCs w:val="32"/>
          <w:lang w:eastAsia="zh-CN"/>
        </w:rPr>
        <w:t>水稻种质资源信息平台运行维护管理规范</w:t>
      </w:r>
      <w:r>
        <w:rPr>
          <w:rFonts w:hint="eastAsia" w:ascii="仿宋_GB2312" w:hAnsi="Calibri" w:eastAsia="仿宋_GB2312" w:cs="Calibri"/>
          <w:sz w:val="32"/>
          <w:szCs w:val="32"/>
        </w:rPr>
        <w:t>》，成立标准起草小组并进行如下分工：</w:t>
      </w:r>
    </w:p>
    <w:tbl>
      <w:tblPr>
        <w:tblStyle w:val="6"/>
        <w:tblpPr w:leftFromText="180" w:rightFromText="180" w:vertAnchor="text" w:horzAnchor="page" w:tblpX="1982" w:tblpY="239"/>
        <w:tblOverlap w:val="never"/>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5"/>
        <w:gridCol w:w="1371"/>
        <w:gridCol w:w="1702"/>
        <w:gridCol w:w="1704"/>
        <w:gridCol w:w="3252"/>
      </w:tblGrid>
      <w:tr w14:paraId="6B431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bottom w:val="single" w:color="auto" w:sz="4" w:space="0"/>
            </w:tcBorders>
            <w:noWrap w:val="0"/>
            <w:vAlign w:val="center"/>
          </w:tcPr>
          <w:p w14:paraId="11284F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Times New Roman"/>
                <w:b/>
                <w:sz w:val="24"/>
              </w:rPr>
            </w:pPr>
            <w:r>
              <w:rPr>
                <w:rFonts w:hint="eastAsia" w:ascii="仿宋" w:hAnsi="仿宋" w:eastAsia="仿宋" w:cs="Times New Roman"/>
                <w:b/>
                <w:sz w:val="24"/>
              </w:rPr>
              <w:t>姓名</w:t>
            </w:r>
          </w:p>
        </w:tc>
        <w:tc>
          <w:tcPr>
            <w:tcW w:w="747" w:type="pct"/>
            <w:tcBorders>
              <w:top w:val="single" w:color="auto" w:sz="4" w:space="0"/>
              <w:bottom w:val="single" w:color="auto" w:sz="4" w:space="0"/>
            </w:tcBorders>
            <w:noWrap w:val="0"/>
            <w:vAlign w:val="center"/>
          </w:tcPr>
          <w:p w14:paraId="1F41CE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Times New Roman"/>
                <w:b/>
                <w:sz w:val="24"/>
              </w:rPr>
            </w:pPr>
            <w:r>
              <w:rPr>
                <w:rFonts w:hint="eastAsia" w:ascii="仿宋" w:hAnsi="仿宋" w:eastAsia="仿宋" w:cs="Times New Roman"/>
                <w:b/>
                <w:sz w:val="24"/>
              </w:rPr>
              <w:t>职务/职称</w:t>
            </w:r>
          </w:p>
        </w:tc>
        <w:tc>
          <w:tcPr>
            <w:tcW w:w="927" w:type="pct"/>
            <w:tcBorders>
              <w:top w:val="single" w:color="auto" w:sz="4" w:space="0"/>
              <w:bottom w:val="single" w:color="auto" w:sz="4" w:space="0"/>
            </w:tcBorders>
            <w:noWrap w:val="0"/>
            <w:vAlign w:val="center"/>
          </w:tcPr>
          <w:p w14:paraId="392E6E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Times New Roman"/>
                <w:b/>
                <w:sz w:val="24"/>
              </w:rPr>
            </w:pPr>
            <w:r>
              <w:rPr>
                <w:rFonts w:hint="eastAsia" w:ascii="仿宋" w:hAnsi="仿宋" w:eastAsia="仿宋" w:cs="Times New Roman"/>
                <w:b/>
                <w:sz w:val="24"/>
              </w:rPr>
              <w:t>从事专业</w:t>
            </w:r>
          </w:p>
        </w:tc>
        <w:tc>
          <w:tcPr>
            <w:tcW w:w="928" w:type="pct"/>
            <w:tcBorders>
              <w:top w:val="single" w:color="auto" w:sz="4" w:space="0"/>
              <w:bottom w:val="single" w:color="auto" w:sz="4" w:space="0"/>
            </w:tcBorders>
            <w:noWrap w:val="0"/>
            <w:vAlign w:val="center"/>
          </w:tcPr>
          <w:p w14:paraId="269CD0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Times New Roman"/>
                <w:b/>
                <w:sz w:val="24"/>
              </w:rPr>
            </w:pPr>
            <w:r>
              <w:rPr>
                <w:rFonts w:hint="eastAsia" w:ascii="仿宋" w:hAnsi="仿宋" w:eastAsia="仿宋" w:cs="Times New Roman"/>
                <w:b/>
                <w:sz w:val="24"/>
              </w:rPr>
              <w:t>工作单位</w:t>
            </w:r>
          </w:p>
        </w:tc>
        <w:tc>
          <w:tcPr>
            <w:tcW w:w="1771" w:type="pct"/>
            <w:tcBorders>
              <w:top w:val="single" w:color="auto" w:sz="4" w:space="0"/>
              <w:bottom w:val="single" w:color="auto" w:sz="4" w:space="0"/>
            </w:tcBorders>
            <w:noWrap w:val="0"/>
            <w:vAlign w:val="center"/>
          </w:tcPr>
          <w:p w14:paraId="2748E0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Times New Roman"/>
                <w:b/>
                <w:sz w:val="24"/>
              </w:rPr>
            </w:pPr>
            <w:r>
              <w:rPr>
                <w:rFonts w:hint="eastAsia" w:ascii="仿宋" w:hAnsi="仿宋" w:eastAsia="仿宋" w:cs="Times New Roman"/>
                <w:b/>
                <w:sz w:val="24"/>
              </w:rPr>
              <w:t>责任分工</w:t>
            </w:r>
          </w:p>
        </w:tc>
      </w:tr>
      <w:tr w14:paraId="792096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0A165D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方辉</w:t>
            </w:r>
          </w:p>
        </w:tc>
        <w:tc>
          <w:tcPr>
            <w:tcW w:w="747" w:type="pct"/>
            <w:tcBorders>
              <w:top w:val="single" w:color="auto" w:sz="4" w:space="0"/>
              <w:bottom w:val="single" w:color="auto" w:sz="4" w:space="0"/>
            </w:tcBorders>
            <w:noWrap w:val="0"/>
            <w:vAlign w:val="center"/>
          </w:tcPr>
          <w:p w14:paraId="483A29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高级工程师</w:t>
            </w:r>
          </w:p>
        </w:tc>
        <w:tc>
          <w:tcPr>
            <w:tcW w:w="927" w:type="pct"/>
            <w:tcBorders>
              <w:top w:val="single" w:color="auto" w:sz="4" w:space="0"/>
              <w:bottom w:val="single" w:color="auto" w:sz="4" w:space="0"/>
            </w:tcBorders>
            <w:noWrap w:val="0"/>
            <w:vAlign w:val="center"/>
          </w:tcPr>
          <w:p w14:paraId="1ED15B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计算机应用技术</w:t>
            </w:r>
          </w:p>
        </w:tc>
        <w:tc>
          <w:tcPr>
            <w:tcW w:w="928" w:type="pct"/>
            <w:tcBorders>
              <w:top w:val="single" w:color="auto" w:sz="4" w:space="0"/>
              <w:bottom w:val="single" w:color="auto" w:sz="4" w:space="0"/>
            </w:tcBorders>
            <w:noWrap w:val="0"/>
            <w:vAlign w:val="center"/>
          </w:tcPr>
          <w:p w14:paraId="3BA082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广西壮族自治区农业科学院农业科技信息研究所</w:t>
            </w:r>
          </w:p>
        </w:tc>
        <w:tc>
          <w:tcPr>
            <w:tcW w:w="1771" w:type="pct"/>
            <w:tcBorders>
              <w:top w:val="single" w:color="auto" w:sz="4" w:space="0"/>
              <w:bottom w:val="single" w:color="auto" w:sz="4" w:space="0"/>
              <w:right w:val="single" w:color="auto" w:sz="4" w:space="0"/>
            </w:tcBorders>
            <w:noWrap w:val="0"/>
            <w:vAlign w:val="center"/>
          </w:tcPr>
          <w:p w14:paraId="7286DC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bidi="ar"/>
              </w:rPr>
              <w:t>统筹主持标准编制工作</w:t>
            </w:r>
            <w:r>
              <w:rPr>
                <w:rFonts w:hint="eastAsia" w:ascii="仿宋_GB2312" w:hAnsi="仿宋_GB2312" w:eastAsia="仿宋_GB2312" w:cs="仿宋_GB2312"/>
                <w:sz w:val="24"/>
                <w:lang w:eastAsia="zh-CN" w:bidi="ar"/>
              </w:rPr>
              <w:t>。</w:t>
            </w:r>
          </w:p>
        </w:tc>
      </w:tr>
      <w:tr w14:paraId="67E4C8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5F6EE2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农保选</w:t>
            </w:r>
          </w:p>
        </w:tc>
        <w:tc>
          <w:tcPr>
            <w:tcW w:w="747" w:type="pct"/>
            <w:tcBorders>
              <w:top w:val="single" w:color="auto" w:sz="4" w:space="0"/>
              <w:bottom w:val="single" w:color="auto" w:sz="4" w:space="0"/>
            </w:tcBorders>
            <w:noWrap w:val="0"/>
            <w:vAlign w:val="center"/>
          </w:tcPr>
          <w:p w14:paraId="4B9670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副研究员</w:t>
            </w:r>
          </w:p>
        </w:tc>
        <w:tc>
          <w:tcPr>
            <w:tcW w:w="927" w:type="pct"/>
            <w:tcBorders>
              <w:top w:val="single" w:color="auto" w:sz="4" w:space="0"/>
              <w:bottom w:val="single" w:color="auto" w:sz="4" w:space="0"/>
            </w:tcBorders>
            <w:noWrap w:val="0"/>
            <w:vAlign w:val="center"/>
          </w:tcPr>
          <w:p w14:paraId="54C8FE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水稻种质资源管理</w:t>
            </w:r>
          </w:p>
        </w:tc>
        <w:tc>
          <w:tcPr>
            <w:tcW w:w="928" w:type="pct"/>
            <w:tcBorders>
              <w:top w:val="single" w:color="auto" w:sz="4" w:space="0"/>
              <w:bottom w:val="single" w:color="auto" w:sz="4" w:space="0"/>
            </w:tcBorders>
            <w:noWrap w:val="0"/>
            <w:vAlign w:val="center"/>
          </w:tcPr>
          <w:p w14:paraId="15FBC9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广西壮族自治区农业科学院</w:t>
            </w:r>
            <w:r>
              <w:rPr>
                <w:rFonts w:hint="eastAsia" w:ascii="仿宋_GB2312" w:hAnsi="仿宋_GB2312" w:eastAsia="仿宋_GB2312" w:cs="仿宋_GB2312"/>
                <w:sz w:val="24"/>
                <w:lang w:val="en-US" w:eastAsia="zh-CN" w:bidi="ar"/>
              </w:rPr>
              <w:t>水稻</w:t>
            </w:r>
            <w:r>
              <w:rPr>
                <w:rFonts w:hint="eastAsia" w:ascii="仿宋_GB2312" w:hAnsi="仿宋_GB2312" w:eastAsia="仿宋_GB2312" w:cs="仿宋_GB2312"/>
                <w:sz w:val="24"/>
                <w:lang w:bidi="ar"/>
              </w:rPr>
              <w:t>研究所</w:t>
            </w:r>
          </w:p>
        </w:tc>
        <w:tc>
          <w:tcPr>
            <w:tcW w:w="1771" w:type="pct"/>
            <w:tcBorders>
              <w:top w:val="single" w:color="auto" w:sz="4" w:space="0"/>
              <w:bottom w:val="single" w:color="auto" w:sz="4" w:space="0"/>
              <w:right w:val="single" w:color="auto" w:sz="4" w:space="0"/>
            </w:tcBorders>
            <w:noWrap w:val="0"/>
            <w:vAlign w:val="center"/>
          </w:tcPr>
          <w:p w14:paraId="47DAA0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r w14:paraId="6CE57D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2205B5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夏秀忠</w:t>
            </w:r>
          </w:p>
        </w:tc>
        <w:tc>
          <w:tcPr>
            <w:tcW w:w="747" w:type="pct"/>
            <w:tcBorders>
              <w:top w:val="single" w:color="auto" w:sz="4" w:space="0"/>
              <w:bottom w:val="single" w:color="auto" w:sz="4" w:space="0"/>
            </w:tcBorders>
            <w:noWrap w:val="0"/>
            <w:vAlign w:val="center"/>
          </w:tcPr>
          <w:p w14:paraId="03F5D5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副研究员</w:t>
            </w:r>
          </w:p>
        </w:tc>
        <w:tc>
          <w:tcPr>
            <w:tcW w:w="927" w:type="pct"/>
            <w:tcBorders>
              <w:top w:val="single" w:color="auto" w:sz="4" w:space="0"/>
              <w:bottom w:val="single" w:color="auto" w:sz="4" w:space="0"/>
            </w:tcBorders>
            <w:noWrap w:val="0"/>
            <w:vAlign w:val="center"/>
          </w:tcPr>
          <w:p w14:paraId="7B2211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水稻种质资源管理</w:t>
            </w:r>
          </w:p>
        </w:tc>
        <w:tc>
          <w:tcPr>
            <w:tcW w:w="928" w:type="pct"/>
            <w:tcBorders>
              <w:top w:val="single" w:color="auto" w:sz="4" w:space="0"/>
              <w:bottom w:val="single" w:color="auto" w:sz="4" w:space="0"/>
            </w:tcBorders>
            <w:noWrap w:val="0"/>
            <w:vAlign w:val="center"/>
          </w:tcPr>
          <w:p w14:paraId="5A9ECC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广西壮族自治区农业科学院</w:t>
            </w:r>
            <w:r>
              <w:rPr>
                <w:rFonts w:hint="eastAsia" w:ascii="仿宋_GB2312" w:hAnsi="仿宋_GB2312" w:eastAsia="仿宋_GB2312" w:cs="仿宋_GB2312"/>
                <w:sz w:val="24"/>
                <w:lang w:val="en-US" w:eastAsia="zh-CN" w:bidi="ar"/>
              </w:rPr>
              <w:t>水稻</w:t>
            </w:r>
            <w:r>
              <w:rPr>
                <w:rFonts w:hint="eastAsia" w:ascii="仿宋_GB2312" w:hAnsi="仿宋_GB2312" w:eastAsia="仿宋_GB2312" w:cs="仿宋_GB2312"/>
                <w:sz w:val="24"/>
                <w:lang w:bidi="ar"/>
              </w:rPr>
              <w:t>研究所</w:t>
            </w:r>
          </w:p>
        </w:tc>
        <w:tc>
          <w:tcPr>
            <w:tcW w:w="1771" w:type="pct"/>
            <w:tcBorders>
              <w:top w:val="single" w:color="auto" w:sz="4" w:space="0"/>
              <w:bottom w:val="single" w:color="auto" w:sz="4" w:space="0"/>
              <w:right w:val="single" w:color="auto" w:sz="4" w:space="0"/>
            </w:tcBorders>
            <w:noWrap w:val="0"/>
            <w:vAlign w:val="center"/>
          </w:tcPr>
          <w:p w14:paraId="798F97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r w14:paraId="3B1631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6E7352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王泽平</w:t>
            </w:r>
          </w:p>
        </w:tc>
        <w:tc>
          <w:tcPr>
            <w:tcW w:w="747" w:type="pct"/>
            <w:tcBorders>
              <w:top w:val="single" w:color="auto" w:sz="4" w:space="0"/>
              <w:bottom w:val="single" w:color="auto" w:sz="4" w:space="0"/>
            </w:tcBorders>
            <w:noWrap w:val="0"/>
            <w:vAlign w:val="center"/>
          </w:tcPr>
          <w:p w14:paraId="772086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副研究员</w:t>
            </w:r>
          </w:p>
        </w:tc>
        <w:tc>
          <w:tcPr>
            <w:tcW w:w="927" w:type="pct"/>
            <w:tcBorders>
              <w:top w:val="single" w:color="auto" w:sz="4" w:space="0"/>
              <w:bottom w:val="single" w:color="auto" w:sz="4" w:space="0"/>
            </w:tcBorders>
            <w:noWrap w:val="0"/>
            <w:vAlign w:val="center"/>
          </w:tcPr>
          <w:p w14:paraId="2A8F42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农业数字化平台研究</w:t>
            </w:r>
          </w:p>
        </w:tc>
        <w:tc>
          <w:tcPr>
            <w:tcW w:w="928" w:type="pct"/>
            <w:tcBorders>
              <w:top w:val="single" w:color="auto" w:sz="4" w:space="0"/>
              <w:bottom w:val="single" w:color="auto" w:sz="4" w:space="0"/>
            </w:tcBorders>
            <w:noWrap w:val="0"/>
            <w:vAlign w:val="center"/>
          </w:tcPr>
          <w:p w14:paraId="63E5FA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广西壮族自治区农业科学院农业科技信息研究所</w:t>
            </w:r>
          </w:p>
        </w:tc>
        <w:tc>
          <w:tcPr>
            <w:tcW w:w="1771" w:type="pct"/>
            <w:tcBorders>
              <w:top w:val="single" w:color="auto" w:sz="4" w:space="0"/>
              <w:bottom w:val="single" w:color="auto" w:sz="4" w:space="0"/>
              <w:right w:val="single" w:color="auto" w:sz="4" w:space="0"/>
            </w:tcBorders>
            <w:noWrap w:val="0"/>
            <w:vAlign w:val="center"/>
          </w:tcPr>
          <w:p w14:paraId="41DF05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bidi="ar"/>
              </w:rPr>
              <w:t>参与标准文本及编制说明的编写</w:t>
            </w:r>
            <w:r>
              <w:rPr>
                <w:rFonts w:hint="eastAsia" w:ascii="仿宋_GB2312" w:hAnsi="仿宋_GB2312" w:eastAsia="仿宋_GB2312" w:cs="仿宋_GB2312"/>
                <w:sz w:val="24"/>
                <w:lang w:eastAsia="zh-CN" w:bidi="ar"/>
              </w:rPr>
              <w:t>，</w:t>
            </w:r>
            <w:r>
              <w:rPr>
                <w:rFonts w:hint="eastAsia" w:ascii="仿宋_GB2312" w:hAnsi="仿宋_GB2312" w:eastAsia="仿宋_GB2312" w:cs="仿宋_GB2312"/>
                <w:sz w:val="24"/>
                <w:lang w:bidi="ar"/>
              </w:rPr>
              <w:t>组织开展标准征求意见会</w:t>
            </w:r>
            <w:r>
              <w:rPr>
                <w:rFonts w:hint="eastAsia" w:ascii="仿宋_GB2312" w:hAnsi="仿宋_GB2312" w:eastAsia="仿宋_GB2312" w:cs="仿宋_GB2312"/>
                <w:sz w:val="24"/>
                <w:lang w:eastAsia="zh-CN" w:bidi="ar"/>
              </w:rPr>
              <w:t>。</w:t>
            </w:r>
          </w:p>
        </w:tc>
      </w:tr>
      <w:tr w14:paraId="10BFC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2A18D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李敏</w:t>
            </w:r>
          </w:p>
        </w:tc>
        <w:tc>
          <w:tcPr>
            <w:tcW w:w="747" w:type="pct"/>
            <w:tcBorders>
              <w:top w:val="single" w:color="auto" w:sz="4" w:space="0"/>
              <w:bottom w:val="single" w:color="auto" w:sz="4" w:space="0"/>
            </w:tcBorders>
            <w:noWrap w:val="0"/>
            <w:vAlign w:val="center"/>
          </w:tcPr>
          <w:p w14:paraId="5D7C60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助理研究员</w:t>
            </w:r>
          </w:p>
        </w:tc>
        <w:tc>
          <w:tcPr>
            <w:tcW w:w="927" w:type="pct"/>
            <w:tcBorders>
              <w:top w:val="single" w:color="auto" w:sz="4" w:space="0"/>
              <w:bottom w:val="single" w:color="auto" w:sz="4" w:space="0"/>
            </w:tcBorders>
            <w:noWrap w:val="0"/>
            <w:vAlign w:val="center"/>
          </w:tcPr>
          <w:p w14:paraId="7C7CE0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计算机应用技术</w:t>
            </w:r>
          </w:p>
        </w:tc>
        <w:tc>
          <w:tcPr>
            <w:tcW w:w="928" w:type="pct"/>
            <w:tcBorders>
              <w:top w:val="single" w:color="auto" w:sz="4" w:space="0"/>
              <w:bottom w:val="single" w:color="auto" w:sz="4" w:space="0"/>
            </w:tcBorders>
            <w:noWrap w:val="0"/>
            <w:vAlign w:val="center"/>
          </w:tcPr>
          <w:p w14:paraId="02E6C5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广西壮族自治区农业科学院农业科技信息研究所</w:t>
            </w:r>
          </w:p>
        </w:tc>
        <w:tc>
          <w:tcPr>
            <w:tcW w:w="1771" w:type="pct"/>
            <w:tcBorders>
              <w:top w:val="single" w:color="auto" w:sz="4" w:space="0"/>
              <w:bottom w:val="single" w:color="auto" w:sz="4" w:space="0"/>
              <w:right w:val="single" w:color="auto" w:sz="4" w:space="0"/>
            </w:tcBorders>
            <w:noWrap w:val="0"/>
            <w:vAlign w:val="center"/>
          </w:tcPr>
          <w:p w14:paraId="750DE6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r w14:paraId="2C4200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7E14AD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余圣新</w:t>
            </w:r>
          </w:p>
        </w:tc>
        <w:tc>
          <w:tcPr>
            <w:tcW w:w="747" w:type="pct"/>
            <w:tcBorders>
              <w:top w:val="single" w:color="auto" w:sz="4" w:space="0"/>
              <w:bottom w:val="single" w:color="auto" w:sz="4" w:space="0"/>
            </w:tcBorders>
            <w:noWrap w:val="0"/>
            <w:vAlign w:val="center"/>
          </w:tcPr>
          <w:p w14:paraId="5987E3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助理研究员</w:t>
            </w:r>
          </w:p>
        </w:tc>
        <w:tc>
          <w:tcPr>
            <w:tcW w:w="927" w:type="pct"/>
            <w:tcBorders>
              <w:top w:val="single" w:color="auto" w:sz="4" w:space="0"/>
              <w:bottom w:val="single" w:color="auto" w:sz="4" w:space="0"/>
            </w:tcBorders>
            <w:noWrap w:val="0"/>
            <w:vAlign w:val="center"/>
          </w:tcPr>
          <w:p w14:paraId="33BDF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计算机应用技术</w:t>
            </w:r>
          </w:p>
        </w:tc>
        <w:tc>
          <w:tcPr>
            <w:tcW w:w="928" w:type="pct"/>
            <w:tcBorders>
              <w:top w:val="single" w:color="auto" w:sz="4" w:space="0"/>
              <w:bottom w:val="single" w:color="auto" w:sz="4" w:space="0"/>
            </w:tcBorders>
            <w:noWrap w:val="0"/>
            <w:vAlign w:val="center"/>
          </w:tcPr>
          <w:p w14:paraId="2B8438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广西壮族自治区农业科学院农业科技信息研究所</w:t>
            </w:r>
          </w:p>
        </w:tc>
        <w:tc>
          <w:tcPr>
            <w:tcW w:w="1771" w:type="pct"/>
            <w:tcBorders>
              <w:top w:val="single" w:color="auto" w:sz="4" w:space="0"/>
              <w:bottom w:val="single" w:color="auto" w:sz="4" w:space="0"/>
              <w:right w:val="single" w:color="auto" w:sz="4" w:space="0"/>
            </w:tcBorders>
            <w:noWrap w:val="0"/>
            <w:vAlign w:val="center"/>
          </w:tcPr>
          <w:p w14:paraId="29F0DD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r w14:paraId="57A864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7B364A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申垚阳</w:t>
            </w:r>
          </w:p>
        </w:tc>
        <w:tc>
          <w:tcPr>
            <w:tcW w:w="747" w:type="pct"/>
            <w:tcBorders>
              <w:top w:val="single" w:color="auto" w:sz="4" w:space="0"/>
              <w:bottom w:val="single" w:color="auto" w:sz="4" w:space="0"/>
            </w:tcBorders>
            <w:noWrap w:val="0"/>
            <w:vAlign w:val="center"/>
          </w:tcPr>
          <w:p w14:paraId="657D81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助理研究员</w:t>
            </w:r>
          </w:p>
        </w:tc>
        <w:tc>
          <w:tcPr>
            <w:tcW w:w="927" w:type="pct"/>
            <w:tcBorders>
              <w:top w:val="single" w:color="auto" w:sz="4" w:space="0"/>
              <w:bottom w:val="single" w:color="auto" w:sz="4" w:space="0"/>
            </w:tcBorders>
            <w:noWrap w:val="0"/>
            <w:vAlign w:val="center"/>
          </w:tcPr>
          <w:p w14:paraId="752D2C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农业经济管理</w:t>
            </w:r>
          </w:p>
        </w:tc>
        <w:tc>
          <w:tcPr>
            <w:tcW w:w="928" w:type="pct"/>
            <w:tcBorders>
              <w:top w:val="single" w:color="auto" w:sz="4" w:space="0"/>
              <w:bottom w:val="single" w:color="auto" w:sz="4" w:space="0"/>
            </w:tcBorders>
            <w:noWrap w:val="0"/>
            <w:vAlign w:val="center"/>
          </w:tcPr>
          <w:p w14:paraId="60F79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广西壮族自治区农业科学院农业科技信息研究所</w:t>
            </w:r>
          </w:p>
        </w:tc>
        <w:tc>
          <w:tcPr>
            <w:tcW w:w="1771" w:type="pct"/>
            <w:tcBorders>
              <w:top w:val="single" w:color="auto" w:sz="4" w:space="0"/>
              <w:bottom w:val="single" w:color="auto" w:sz="4" w:space="0"/>
              <w:right w:val="single" w:color="auto" w:sz="4" w:space="0"/>
            </w:tcBorders>
            <w:noWrap w:val="0"/>
            <w:vAlign w:val="center"/>
          </w:tcPr>
          <w:p w14:paraId="35B35A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r w14:paraId="535296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4D2DD9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吴广丽</w:t>
            </w:r>
          </w:p>
        </w:tc>
        <w:tc>
          <w:tcPr>
            <w:tcW w:w="747" w:type="pct"/>
            <w:tcBorders>
              <w:top w:val="single" w:color="auto" w:sz="4" w:space="0"/>
              <w:bottom w:val="single" w:color="auto" w:sz="4" w:space="0"/>
            </w:tcBorders>
            <w:noWrap w:val="0"/>
            <w:vAlign w:val="center"/>
          </w:tcPr>
          <w:p w14:paraId="22C12E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助理研究员</w:t>
            </w:r>
          </w:p>
        </w:tc>
        <w:tc>
          <w:tcPr>
            <w:tcW w:w="927" w:type="pct"/>
            <w:tcBorders>
              <w:top w:val="single" w:color="auto" w:sz="4" w:space="0"/>
              <w:bottom w:val="single" w:color="auto" w:sz="4" w:space="0"/>
            </w:tcBorders>
            <w:noWrap w:val="0"/>
            <w:vAlign w:val="center"/>
          </w:tcPr>
          <w:p w14:paraId="7DA964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农业经济管理</w:t>
            </w:r>
          </w:p>
        </w:tc>
        <w:tc>
          <w:tcPr>
            <w:tcW w:w="928" w:type="pct"/>
            <w:tcBorders>
              <w:top w:val="single" w:color="auto" w:sz="4" w:space="0"/>
              <w:bottom w:val="single" w:color="auto" w:sz="4" w:space="0"/>
            </w:tcBorders>
            <w:noWrap w:val="0"/>
            <w:vAlign w:val="center"/>
          </w:tcPr>
          <w:p w14:paraId="2D008C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广西壮族自治区农业科学院农业科技信息研究所</w:t>
            </w:r>
          </w:p>
        </w:tc>
        <w:tc>
          <w:tcPr>
            <w:tcW w:w="1771" w:type="pct"/>
            <w:tcBorders>
              <w:top w:val="single" w:color="auto" w:sz="4" w:space="0"/>
              <w:bottom w:val="single" w:color="auto" w:sz="4" w:space="0"/>
              <w:right w:val="single" w:color="auto" w:sz="4" w:space="0"/>
            </w:tcBorders>
            <w:noWrap w:val="0"/>
            <w:vAlign w:val="center"/>
          </w:tcPr>
          <w:p w14:paraId="0C0F94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r w14:paraId="60AF52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28AB2C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阮晓静</w:t>
            </w:r>
          </w:p>
        </w:tc>
        <w:tc>
          <w:tcPr>
            <w:tcW w:w="747" w:type="pct"/>
            <w:tcBorders>
              <w:top w:val="single" w:color="auto" w:sz="4" w:space="0"/>
              <w:bottom w:val="single" w:color="auto" w:sz="4" w:space="0"/>
            </w:tcBorders>
            <w:noWrap w:val="0"/>
            <w:vAlign w:val="center"/>
          </w:tcPr>
          <w:p w14:paraId="32D6BA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助理研究员</w:t>
            </w:r>
          </w:p>
        </w:tc>
        <w:tc>
          <w:tcPr>
            <w:tcW w:w="927" w:type="pct"/>
            <w:tcBorders>
              <w:top w:val="single" w:color="auto" w:sz="4" w:space="0"/>
              <w:bottom w:val="single" w:color="auto" w:sz="4" w:space="0"/>
            </w:tcBorders>
            <w:noWrap w:val="0"/>
            <w:vAlign w:val="center"/>
          </w:tcPr>
          <w:p w14:paraId="21A5EE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农业经济管理</w:t>
            </w:r>
          </w:p>
        </w:tc>
        <w:tc>
          <w:tcPr>
            <w:tcW w:w="928" w:type="pct"/>
            <w:tcBorders>
              <w:top w:val="single" w:color="auto" w:sz="4" w:space="0"/>
              <w:bottom w:val="single" w:color="auto" w:sz="4" w:space="0"/>
            </w:tcBorders>
            <w:noWrap w:val="0"/>
            <w:vAlign w:val="center"/>
          </w:tcPr>
          <w:p w14:paraId="5E3D5B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广西壮族自治区农业科学院农业科技信息研究所</w:t>
            </w:r>
          </w:p>
        </w:tc>
        <w:tc>
          <w:tcPr>
            <w:tcW w:w="1771" w:type="pct"/>
            <w:tcBorders>
              <w:top w:val="single" w:color="auto" w:sz="4" w:space="0"/>
              <w:bottom w:val="single" w:color="auto" w:sz="4" w:space="0"/>
              <w:right w:val="single" w:color="auto" w:sz="4" w:space="0"/>
            </w:tcBorders>
            <w:noWrap w:val="0"/>
            <w:vAlign w:val="center"/>
          </w:tcPr>
          <w:p w14:paraId="7807E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参与标准文本及编制说明编写，质量控制。</w:t>
            </w:r>
          </w:p>
        </w:tc>
      </w:tr>
      <w:tr w14:paraId="2C72C3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7C067C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陈贺</w:t>
            </w:r>
          </w:p>
        </w:tc>
        <w:tc>
          <w:tcPr>
            <w:tcW w:w="747" w:type="pct"/>
            <w:tcBorders>
              <w:top w:val="single" w:color="auto" w:sz="4" w:space="0"/>
              <w:bottom w:val="single" w:color="auto" w:sz="4" w:space="0"/>
            </w:tcBorders>
            <w:noWrap w:val="0"/>
            <w:vAlign w:val="center"/>
          </w:tcPr>
          <w:p w14:paraId="7EB8F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实习研究员</w:t>
            </w:r>
          </w:p>
        </w:tc>
        <w:tc>
          <w:tcPr>
            <w:tcW w:w="927" w:type="pct"/>
            <w:tcBorders>
              <w:top w:val="single" w:color="auto" w:sz="4" w:space="0"/>
              <w:bottom w:val="single" w:color="auto" w:sz="4" w:space="0"/>
            </w:tcBorders>
            <w:noWrap w:val="0"/>
            <w:vAlign w:val="center"/>
          </w:tcPr>
          <w:p w14:paraId="001C65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计算机应用技术</w:t>
            </w:r>
          </w:p>
        </w:tc>
        <w:tc>
          <w:tcPr>
            <w:tcW w:w="928" w:type="pct"/>
            <w:tcBorders>
              <w:top w:val="single" w:color="auto" w:sz="4" w:space="0"/>
              <w:bottom w:val="single" w:color="auto" w:sz="4" w:space="0"/>
            </w:tcBorders>
            <w:noWrap w:val="0"/>
            <w:vAlign w:val="center"/>
          </w:tcPr>
          <w:p w14:paraId="11F159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广西壮族自治区农业科学院农业科技信息研究所</w:t>
            </w:r>
          </w:p>
        </w:tc>
        <w:tc>
          <w:tcPr>
            <w:tcW w:w="1771" w:type="pct"/>
            <w:tcBorders>
              <w:top w:val="single" w:color="auto" w:sz="4" w:space="0"/>
              <w:bottom w:val="single" w:color="auto" w:sz="4" w:space="0"/>
              <w:right w:val="single" w:color="auto" w:sz="4" w:space="0"/>
            </w:tcBorders>
            <w:noWrap w:val="0"/>
            <w:vAlign w:val="center"/>
          </w:tcPr>
          <w:p w14:paraId="30CFDF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参与标准文本及编制说明编写，质量控制。</w:t>
            </w:r>
          </w:p>
        </w:tc>
      </w:tr>
      <w:tr w14:paraId="5106CD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0B25B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江万里</w:t>
            </w:r>
          </w:p>
        </w:tc>
        <w:tc>
          <w:tcPr>
            <w:tcW w:w="747" w:type="pct"/>
            <w:tcBorders>
              <w:top w:val="single" w:color="auto" w:sz="4" w:space="0"/>
              <w:bottom w:val="single" w:color="auto" w:sz="4" w:space="0"/>
            </w:tcBorders>
            <w:noWrap w:val="0"/>
            <w:vAlign w:val="center"/>
          </w:tcPr>
          <w:p w14:paraId="7FE47A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工程师</w:t>
            </w:r>
          </w:p>
        </w:tc>
        <w:tc>
          <w:tcPr>
            <w:tcW w:w="927" w:type="pct"/>
            <w:tcBorders>
              <w:top w:val="single" w:color="auto" w:sz="4" w:space="0"/>
              <w:bottom w:val="single" w:color="auto" w:sz="4" w:space="0"/>
            </w:tcBorders>
            <w:noWrap w:val="0"/>
            <w:vAlign w:val="center"/>
          </w:tcPr>
          <w:p w14:paraId="7B7BCC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计算机应用技术</w:t>
            </w:r>
          </w:p>
        </w:tc>
        <w:tc>
          <w:tcPr>
            <w:tcW w:w="928" w:type="pct"/>
            <w:tcBorders>
              <w:top w:val="single" w:color="auto" w:sz="4" w:space="0"/>
              <w:bottom w:val="single" w:color="auto" w:sz="4" w:space="0"/>
            </w:tcBorders>
            <w:noWrap w:val="0"/>
            <w:vAlign w:val="center"/>
          </w:tcPr>
          <w:p w14:paraId="240108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广西春之蓝农业科技有限公司</w:t>
            </w:r>
          </w:p>
        </w:tc>
        <w:tc>
          <w:tcPr>
            <w:tcW w:w="1771" w:type="pct"/>
            <w:tcBorders>
              <w:top w:val="single" w:color="auto" w:sz="4" w:space="0"/>
              <w:bottom w:val="single" w:color="auto" w:sz="4" w:space="0"/>
              <w:right w:val="single" w:color="auto" w:sz="4" w:space="0"/>
            </w:tcBorders>
            <w:noWrap w:val="0"/>
            <w:vAlign w:val="center"/>
          </w:tcPr>
          <w:p w14:paraId="7A51B3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r w14:paraId="235CAB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4" w:type="pct"/>
            <w:tcBorders>
              <w:top w:val="single" w:color="auto" w:sz="4" w:space="0"/>
              <w:left w:val="single" w:color="auto" w:sz="4" w:space="0"/>
              <w:bottom w:val="single" w:color="auto" w:sz="4" w:space="0"/>
            </w:tcBorders>
            <w:noWrap w:val="0"/>
            <w:vAlign w:val="center"/>
          </w:tcPr>
          <w:p w14:paraId="7206CE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潘亚娟</w:t>
            </w:r>
          </w:p>
        </w:tc>
        <w:tc>
          <w:tcPr>
            <w:tcW w:w="747" w:type="pct"/>
            <w:tcBorders>
              <w:top w:val="single" w:color="auto" w:sz="4" w:space="0"/>
              <w:bottom w:val="single" w:color="auto" w:sz="4" w:space="0"/>
            </w:tcBorders>
            <w:noWrap w:val="0"/>
            <w:vAlign w:val="center"/>
          </w:tcPr>
          <w:p w14:paraId="2702EF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工程师</w:t>
            </w:r>
          </w:p>
        </w:tc>
        <w:tc>
          <w:tcPr>
            <w:tcW w:w="927" w:type="pct"/>
            <w:tcBorders>
              <w:top w:val="single" w:color="auto" w:sz="4" w:space="0"/>
              <w:bottom w:val="single" w:color="auto" w:sz="4" w:space="0"/>
            </w:tcBorders>
            <w:noWrap w:val="0"/>
            <w:vAlign w:val="center"/>
          </w:tcPr>
          <w:p w14:paraId="16799A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计算机应用技术</w:t>
            </w:r>
          </w:p>
        </w:tc>
        <w:tc>
          <w:tcPr>
            <w:tcW w:w="928" w:type="pct"/>
            <w:tcBorders>
              <w:top w:val="single" w:color="auto" w:sz="4" w:space="0"/>
              <w:bottom w:val="single" w:color="auto" w:sz="4" w:space="0"/>
            </w:tcBorders>
            <w:noWrap w:val="0"/>
            <w:vAlign w:val="center"/>
          </w:tcPr>
          <w:p w14:paraId="7521D2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广西金点子信息科技有限公司</w:t>
            </w:r>
          </w:p>
        </w:tc>
        <w:tc>
          <w:tcPr>
            <w:tcW w:w="1771" w:type="pct"/>
            <w:tcBorders>
              <w:top w:val="single" w:color="auto" w:sz="4" w:space="0"/>
              <w:bottom w:val="single" w:color="auto" w:sz="4" w:space="0"/>
              <w:right w:val="single" w:color="auto" w:sz="4" w:space="0"/>
            </w:tcBorders>
            <w:noWrap w:val="0"/>
            <w:vAlign w:val="center"/>
          </w:tcPr>
          <w:p w14:paraId="742C25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bl>
    <w:p w14:paraId="06EEE375">
      <w:pPr>
        <w:ind w:firstLine="640" w:firstLineChars="200"/>
        <w:rPr>
          <w:rFonts w:hint="eastAsia" w:ascii="仿宋_GB2312" w:hAnsi="宋体" w:eastAsia="仿宋_GB2312"/>
          <w:sz w:val="32"/>
          <w:szCs w:val="28"/>
        </w:rPr>
      </w:pPr>
    </w:p>
    <w:p w14:paraId="6BE1CEB3">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二、制定标准的必要性和意义</w:t>
      </w:r>
    </w:p>
    <w:p w14:paraId="076B97D9">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中国是水稻生产和水稻育种大国，水稻研究水平处于世界领先地位。回顾水稻育种的发展历程，每一次重大突破都与水稻优异种质的发掘和利用有着密切的联系。20世纪50—60年代矮脚南特、矮仔占、低脚乌尖等矮秆资源的发现和应用，促进了水稻矮秆育种；70年代野败的发现直接促进了不育系选育的突破，IＲ 系列品种的引进和应用促进了恢复系的选育以及第1批强优势组合南优2号等的育成；80—90年代的光温敏核不育资源的研究和应用实现了杂交水稻由三系到两系的发展。可见种质资源在水稻育种中起着举足轻重的作用。中国是世界上公认的农作物8大起源中心之一，也是亚洲栽培稻起源地之一，稻种资源十分丰富。截至2003年，中国共编目稻种资源77 541份，建立国家种质圃26个，保存无性繁殖作物种质资源3万余份；建成了目前世界上保存种质资源数量最多的国家种质库，为中国农业的可持续发展奠定了坚实的物质基础。</w:t>
      </w:r>
    </w:p>
    <w:p w14:paraId="61728A6C">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农作物种质资源是农业科技原始创新、现代种业发展的物质基础，是保障粮食安全、建设生态文明、支撑农业可持续发展的战略性资源。作物种质资源作为植物种质资源中的重要组成部分，为培育作物优质、高产、抗逆新品种和抗病(虫)提供有力的物质基础，是农业科技原始创新、现代种业发展的物质基础，是保障粮食安全、建设生态文明、支撑农业可持续发展的战略性资源。作物种质资源数据信息是农业生产和农业科学的重要基础，既为农业生产提供直接服务，又是农业应用科学与技术发展的源泉，它对加强农业基础条件建设，增强农业科技发展后劲，解决农业前瞻性、长远性、全局性的问题十分必要。农作物种质资源的共享和利用是国家和地区可持续发展的迫切需要。农作物种质资源共享是指农作物种质资源的繁殖材料和信息可以为社会公众利用，而不受地域和时空的限制。</w:t>
      </w:r>
    </w:p>
    <w:p w14:paraId="792F9C44">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水稻种质资源信息平台作为一个集中保存、管理和分享水稻种质资源数据的平台，其中涵盖了大量珍贵的遗传资源信息。这些数据包含了各种水稻品种的遗传信息、生长习性、病虫害抗性等关键数据，对于农业科研工作和新品种培育具有重要价值。</w:t>
      </w:r>
    </w:p>
    <w:p w14:paraId="7A493052">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通过制定团体标准《</w:t>
      </w:r>
      <w:r>
        <w:rPr>
          <w:rFonts w:hint="eastAsia" w:ascii="仿宋_GB2312" w:hAnsi="宋体" w:eastAsia="仿宋_GB2312"/>
          <w:sz w:val="32"/>
          <w:szCs w:val="28"/>
          <w:lang w:eastAsia="zh-CN"/>
        </w:rPr>
        <w:t>水稻种质资源信息平台运行维护管理规范</w:t>
      </w:r>
      <w:r>
        <w:rPr>
          <w:rFonts w:hint="eastAsia" w:ascii="仿宋_GB2312" w:hAnsi="宋体" w:eastAsia="仿宋_GB2312"/>
          <w:sz w:val="32"/>
          <w:szCs w:val="28"/>
        </w:rPr>
        <w:t>》，以标准为抓手，规范</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要求，对保护水稻种质资源信息的安全，推动水稻良种选育和生产，确保粮食安全，推动广西水稻产业的高质量、可持续发展。</w:t>
      </w:r>
    </w:p>
    <w:p w14:paraId="64CFA7EF">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三、主要起草过程</w:t>
      </w:r>
    </w:p>
    <w:p w14:paraId="0D6A5644">
      <w:pPr>
        <w:spacing w:before="156" w:beforeLines="50" w:after="156" w:afterLines="50" w:line="560" w:lineRule="exact"/>
        <w:ind w:firstLine="643" w:firstLineChars="200"/>
        <w:rPr>
          <w:rFonts w:ascii="楷体" w:hAnsi="楷体" w:eastAsia="楷体"/>
          <w:sz w:val="32"/>
          <w:szCs w:val="28"/>
        </w:rPr>
      </w:pPr>
      <w:r>
        <w:rPr>
          <w:rFonts w:hint="eastAsia" w:ascii="楷体" w:hAnsi="楷体" w:eastAsia="楷体" w:cs="仿宋_GB2312"/>
          <w:b/>
          <w:sz w:val="32"/>
          <w:szCs w:val="28"/>
        </w:rPr>
        <w:t>（一）成立标准编制工作组</w:t>
      </w:r>
    </w:p>
    <w:p w14:paraId="437C2B65">
      <w:pPr>
        <w:ind w:firstLine="640" w:firstLineChars="200"/>
        <w:rPr>
          <w:rFonts w:ascii="仿宋_GB2312" w:hAnsi="宋体" w:eastAsia="仿宋_GB2312"/>
          <w:sz w:val="32"/>
          <w:szCs w:val="28"/>
        </w:rPr>
      </w:pPr>
      <w:r>
        <w:rPr>
          <w:rFonts w:hint="eastAsia" w:ascii="仿宋_GB2312" w:hAnsi="宋体" w:eastAsia="仿宋_GB2312"/>
          <w:sz w:val="32"/>
          <w:szCs w:val="28"/>
        </w:rPr>
        <w:t>团体标准《</w:t>
      </w:r>
      <w:r>
        <w:rPr>
          <w:rFonts w:hint="eastAsia" w:ascii="仿宋_GB2312" w:hAnsi="宋体" w:eastAsia="仿宋_GB2312"/>
          <w:sz w:val="32"/>
          <w:szCs w:val="28"/>
          <w:lang w:eastAsia="zh-CN"/>
        </w:rPr>
        <w:t>水稻种质资源信息平台运行维护管理规范</w:t>
      </w:r>
      <w:r>
        <w:rPr>
          <w:rFonts w:hint="eastAsia" w:ascii="仿宋_GB2312" w:hAnsi="宋体" w:eastAsia="仿宋_GB2312"/>
          <w:sz w:val="32"/>
          <w:szCs w:val="28"/>
        </w:rPr>
        <w:t>》项目任务下达后，广西壮族自治区农业科学院成立了标准编制工作组，起草单位制定了起草编写方案与进度安排，明确任务职责，确定工作技术路线，开展标准研制工作。具体标准编制工作由广西壮族自治区农业科学院农业科技信息研究所、广西壮族自治区农业科学院水稻研究所、广西金点子信息科技有限公司、广西春之蓝农业科技有限公司等单位负责人组成的标准编制工作组完成。</w:t>
      </w:r>
    </w:p>
    <w:p w14:paraId="0D99A07B">
      <w:pPr>
        <w:ind w:firstLine="640" w:firstLineChars="200"/>
        <w:rPr>
          <w:rFonts w:ascii="仿宋_GB2312" w:hAnsi="宋体" w:eastAsia="仿宋_GB2312"/>
          <w:sz w:val="32"/>
          <w:szCs w:val="28"/>
        </w:rPr>
      </w:pPr>
      <w:r>
        <w:rPr>
          <w:rFonts w:hint="eastAsia" w:ascii="仿宋_GB2312" w:hAnsi="宋体" w:eastAsia="仿宋_GB2312"/>
          <w:sz w:val="32"/>
          <w:szCs w:val="28"/>
        </w:rPr>
        <w:t>编制工作组下设三个组，分别是资料收集组、草案编写组、标准实施组。</w:t>
      </w:r>
    </w:p>
    <w:p w14:paraId="59AE398B">
      <w:pPr>
        <w:ind w:firstLine="640" w:firstLineChars="200"/>
        <w:rPr>
          <w:rFonts w:ascii="仿宋_GB2312" w:hAnsi="宋体" w:eastAsia="仿宋_GB2312"/>
          <w:sz w:val="32"/>
          <w:szCs w:val="28"/>
        </w:rPr>
      </w:pPr>
      <w:r>
        <w:rPr>
          <w:rFonts w:hint="eastAsia" w:ascii="仿宋_GB2312" w:hAnsi="宋体" w:eastAsia="仿宋_GB2312"/>
          <w:sz w:val="32"/>
          <w:szCs w:val="28"/>
        </w:rPr>
        <w:t>资料收集组负责国内外有关</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的文献资料的查询、收集和整理工作，查阅前人对</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的研究情况。</w:t>
      </w:r>
    </w:p>
    <w:p w14:paraId="0BE25F71">
      <w:pPr>
        <w:ind w:firstLine="640" w:firstLineChars="200"/>
        <w:rPr>
          <w:rFonts w:ascii="仿宋_GB2312" w:hAnsi="宋体" w:eastAsia="仿宋_GB2312"/>
          <w:sz w:val="32"/>
          <w:szCs w:val="28"/>
        </w:rPr>
      </w:pPr>
      <w:r>
        <w:rPr>
          <w:rFonts w:hint="eastAsia" w:ascii="仿宋_GB2312" w:hAnsi="宋体" w:eastAsia="仿宋_GB2312"/>
          <w:sz w:val="32"/>
          <w:szCs w:val="28"/>
        </w:rPr>
        <w:t>草案编写组负责起草标准草案、征求意见稿和标准编制说明、送审稿及编制说明的编写工作，包括后期召开征求意见会、网上征求意见，以及标准的不断修改和完善。</w:t>
      </w:r>
    </w:p>
    <w:p w14:paraId="067432A5">
      <w:pPr>
        <w:ind w:firstLine="640" w:firstLineChars="200"/>
        <w:rPr>
          <w:rFonts w:ascii="仿宋_GB2312" w:hAnsi="宋体" w:eastAsia="仿宋_GB2312"/>
          <w:sz w:val="32"/>
          <w:szCs w:val="28"/>
        </w:rPr>
      </w:pPr>
      <w:r>
        <w:rPr>
          <w:rFonts w:hint="eastAsia" w:ascii="仿宋_GB2312" w:hAnsi="宋体" w:eastAsia="仿宋_GB2312"/>
          <w:sz w:val="32"/>
          <w:szCs w:val="28"/>
        </w:rPr>
        <w:t>标准实施组负责团体标准《</w:t>
      </w:r>
      <w:r>
        <w:rPr>
          <w:rFonts w:hint="eastAsia" w:ascii="仿宋_GB2312" w:hAnsi="宋体" w:eastAsia="仿宋_GB2312"/>
          <w:sz w:val="32"/>
          <w:szCs w:val="28"/>
          <w:lang w:eastAsia="zh-CN"/>
        </w:rPr>
        <w:t>水稻种质资源信息平台运行维护管理规范</w:t>
      </w:r>
      <w:r>
        <w:rPr>
          <w:rFonts w:hint="eastAsia" w:ascii="仿宋_GB2312" w:hAnsi="宋体" w:eastAsia="仿宋_GB2312"/>
          <w:sz w:val="32"/>
          <w:szCs w:val="28"/>
        </w:rPr>
        <w:t>》发布后，组织相关企事业单位开展标准宣贯培训会，对标准进行详细解读，让相关人员了解标准，并根据标准对</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进行规范化操作，并对标准实施情况进行总结分析，不断对团体标准提出修正意见。</w:t>
      </w:r>
    </w:p>
    <w:p w14:paraId="32C78715">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（二）收集整理文献资料</w:t>
      </w:r>
    </w:p>
    <w:p w14:paraId="2B9611BD">
      <w:pPr>
        <w:ind w:firstLine="640" w:firstLineChars="200"/>
        <w:rPr>
          <w:rFonts w:ascii="仿宋_GB2312" w:hAnsi="宋体" w:eastAsia="仿宋_GB2312"/>
          <w:sz w:val="32"/>
          <w:szCs w:val="28"/>
          <w:lang w:val="fr-FR"/>
        </w:rPr>
      </w:pPr>
      <w:r>
        <w:rPr>
          <w:rFonts w:hint="eastAsia" w:ascii="仿宋_GB2312" w:hAnsi="宋体" w:eastAsia="仿宋_GB2312"/>
          <w:sz w:val="32"/>
          <w:szCs w:val="28"/>
        </w:rPr>
        <w:t>标准编制工作组收集了国内有关</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相关文献资料。主要有</w:t>
      </w:r>
      <w:r>
        <w:rPr>
          <w:rFonts w:hint="eastAsia" w:ascii="仿宋_GB2312" w:hAnsi="宋体" w:eastAsia="仿宋_GB2312"/>
          <w:sz w:val="32"/>
          <w:szCs w:val="28"/>
          <w:lang w:val="fr-FR"/>
        </w:rPr>
        <w:t>：</w:t>
      </w:r>
    </w:p>
    <w:p w14:paraId="576FA702">
      <w:pPr>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GB/T 28827.1-2022《信息技术服务 运行维护 第1部分：通用要求》</w:t>
      </w:r>
    </w:p>
    <w:p w14:paraId="08FB5CDE">
      <w:pPr>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NY/T 4019-2021《水稻种质资源鉴定技术规范》</w:t>
      </w:r>
    </w:p>
    <w:p w14:paraId="27EC9804">
      <w:pPr>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DA∕T 56-2014 《档案信息系统运行维护规范》</w:t>
      </w:r>
    </w:p>
    <w:p w14:paraId="48357DFC">
      <w:pPr>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DB13/T 5877-2023《粮食作物种质资源信息共享数据规范》</w:t>
      </w:r>
    </w:p>
    <w:p w14:paraId="373342B9">
      <w:pPr>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DB23_T 3008—2021《水稻种质资源评价与保存技术规程》</w:t>
      </w:r>
    </w:p>
    <w:p w14:paraId="236312C7">
      <w:pPr>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DB32/T 4144-2021《公共信用信息平台运行维护管理规范》</w:t>
      </w:r>
      <w:r>
        <w:rPr>
          <w:rFonts w:hint="eastAsia" w:ascii="仿宋_GB2312" w:hAnsi="宋体" w:eastAsia="仿宋_GB2312"/>
          <w:sz w:val="32"/>
          <w:szCs w:val="28"/>
          <w:lang w:eastAsia="zh-CN"/>
        </w:rPr>
        <w:t>等</w:t>
      </w:r>
      <w:r>
        <w:rPr>
          <w:rFonts w:hint="eastAsia" w:ascii="仿宋_GB2312" w:hAnsi="宋体" w:eastAsia="仿宋_GB2312"/>
          <w:sz w:val="32"/>
          <w:szCs w:val="28"/>
        </w:rPr>
        <w:t>。</w:t>
      </w:r>
    </w:p>
    <w:p w14:paraId="44937C7D">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（三）研讨确定标准主体内容</w:t>
      </w:r>
    </w:p>
    <w:p w14:paraId="691B939C">
      <w:pPr>
        <w:ind w:firstLine="640" w:firstLineChars="200"/>
        <w:rPr>
          <w:rFonts w:ascii="仿宋_GB2312" w:hAnsi="宋体" w:eastAsia="仿宋_GB2312"/>
          <w:sz w:val="32"/>
          <w:szCs w:val="28"/>
        </w:rPr>
      </w:pPr>
      <w:r>
        <w:rPr>
          <w:rFonts w:hint="eastAsia" w:ascii="仿宋_GB2312" w:hAnsi="宋体" w:eastAsia="仿宋_GB2312"/>
          <w:sz w:val="32"/>
          <w:szCs w:val="28"/>
        </w:rPr>
        <w:t>标准编制工作组在对收集的资料进行整理研究之后，202</w:t>
      </w:r>
      <w:r>
        <w:rPr>
          <w:rFonts w:ascii="仿宋_GB2312" w:hAnsi="宋体" w:eastAsia="仿宋_GB2312"/>
          <w:sz w:val="32"/>
          <w:szCs w:val="28"/>
        </w:rPr>
        <w:t>4</w:t>
      </w:r>
      <w:r>
        <w:rPr>
          <w:rFonts w:hint="eastAsia" w:ascii="仿宋_GB2312" w:hAnsi="宋体" w:eastAsia="仿宋_GB2312"/>
          <w:sz w:val="32"/>
          <w:szCs w:val="28"/>
        </w:rPr>
        <w:t>年8月，标准编制工作组召开了标准编制会议，对标准的整体框架结构进行了研究，并对标准的关键性内容进行了初步探讨。经过研究，标准的主体内容确</w:t>
      </w:r>
      <w:r>
        <w:rPr>
          <w:rFonts w:hint="eastAsia" w:ascii="仿宋_GB2312" w:hAnsi="宋体" w:eastAsia="仿宋_GB2312"/>
          <w:sz w:val="32"/>
          <w:szCs w:val="28"/>
          <w:highlight w:val="none"/>
        </w:rPr>
        <w:t>定为术语和定义基本要求，运行管理、维护管理、</w:t>
      </w:r>
      <w:r>
        <w:rPr>
          <w:rFonts w:hint="eastAsia" w:ascii="仿宋_GB2312" w:hAnsi="宋体" w:eastAsia="仿宋_GB2312"/>
          <w:sz w:val="32"/>
          <w:szCs w:val="28"/>
          <w:highlight w:val="none"/>
          <w:lang w:val="en-US" w:eastAsia="zh-CN"/>
        </w:rPr>
        <w:t>知识产权管理、</w:t>
      </w:r>
      <w:r>
        <w:rPr>
          <w:rFonts w:hint="eastAsia" w:ascii="仿宋_GB2312" w:hAnsi="宋体" w:eastAsia="仿宋_GB2312"/>
          <w:sz w:val="32"/>
          <w:szCs w:val="28"/>
          <w:highlight w:val="none"/>
        </w:rPr>
        <w:t>安全管理、检查和改进。</w:t>
      </w:r>
    </w:p>
    <w:p w14:paraId="61FABD75">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（四）调研及形成草案、征求意见稿</w:t>
      </w:r>
    </w:p>
    <w:p w14:paraId="6B432005">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ascii="仿宋_GB2312" w:hAnsi="宋体" w:eastAsia="仿宋_GB2312"/>
          <w:sz w:val="32"/>
          <w:szCs w:val="28"/>
        </w:rPr>
        <w:t>8</w:t>
      </w:r>
      <w:r>
        <w:rPr>
          <w:rFonts w:hint="eastAsia" w:ascii="仿宋_GB2312" w:hAnsi="宋体" w:eastAsia="仿宋_GB2312"/>
          <w:sz w:val="32"/>
          <w:szCs w:val="28"/>
        </w:rPr>
        <w:t>月，标准起草工作小组进行了广泛调研工作，查阅了大量的国内外文献资料，对</w:t>
      </w:r>
      <w:r>
        <w:rPr>
          <w:rFonts w:hint="eastAsia" w:ascii="仿宋_GB2312" w:hAnsi="宋体" w:eastAsia="仿宋_GB2312"/>
          <w:sz w:val="32"/>
          <w:szCs w:val="28"/>
          <w:lang w:eastAsia="zh-CN"/>
        </w:rPr>
        <w:t>水稻种质资源信息平台数据安全管理</w:t>
      </w:r>
      <w:r>
        <w:rPr>
          <w:rFonts w:hint="eastAsia" w:ascii="仿宋_GB2312" w:hAnsi="宋体" w:eastAsia="仿宋_GB2312"/>
          <w:sz w:val="32"/>
          <w:szCs w:val="28"/>
        </w:rPr>
        <w:t>的前人研究成果进行系统总结。形成了标准的基本构架，对主要内容进行了讨论并对项目的工作进行了部署和安排。</w:t>
      </w:r>
    </w:p>
    <w:p w14:paraId="09305CF3">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ascii="仿宋_GB2312" w:hAnsi="宋体" w:eastAsia="仿宋_GB2312"/>
          <w:sz w:val="32"/>
          <w:szCs w:val="28"/>
        </w:rPr>
        <w:t>9</w:t>
      </w:r>
      <w:r>
        <w:rPr>
          <w:rFonts w:hint="eastAsia" w:ascii="仿宋_GB2312" w:hAnsi="宋体" w:eastAsia="仿宋_GB2312"/>
          <w:sz w:val="32"/>
          <w:szCs w:val="28"/>
        </w:rPr>
        <w:t>月</w:t>
      </w:r>
      <w:r>
        <w:rPr>
          <w:rFonts w:hint="eastAsia" w:ascii="仿宋_GB2312" w:hAnsi="宋体" w:eastAsia="仿宋_GB2312"/>
          <w:sz w:val="32"/>
          <w:szCs w:val="28"/>
          <w:lang w:val="en-US" w:eastAsia="zh-CN"/>
        </w:rPr>
        <w:t>-10月</w:t>
      </w:r>
      <w:r>
        <w:rPr>
          <w:rFonts w:hint="eastAsia" w:ascii="仿宋_GB2312" w:hAnsi="宋体" w:eastAsia="仿宋_GB2312"/>
          <w:sz w:val="32"/>
          <w:szCs w:val="28"/>
        </w:rPr>
        <w:t>，在前期工作的基础之上，通过理清逻辑脉络，整合已有的参考资料中有关</w:t>
      </w:r>
      <w:r>
        <w:rPr>
          <w:rFonts w:hint="eastAsia" w:ascii="仿宋_GB2312" w:hAnsi="宋体" w:eastAsia="仿宋_GB2312"/>
          <w:sz w:val="32"/>
          <w:szCs w:val="28"/>
          <w:lang w:eastAsia="zh-CN"/>
        </w:rPr>
        <w:t>水稻种质资源信息平台数据安全管理</w:t>
      </w:r>
      <w:r>
        <w:rPr>
          <w:rFonts w:hint="eastAsia" w:ascii="仿宋_GB2312" w:hAnsi="宋体" w:eastAsia="仿宋_GB2312"/>
          <w:sz w:val="32"/>
          <w:szCs w:val="28"/>
        </w:rPr>
        <w:t>要求，并结合</w:t>
      </w:r>
      <w:r>
        <w:rPr>
          <w:rFonts w:hint="eastAsia" w:ascii="仿宋_GB2312" w:hAnsi="宋体" w:eastAsia="仿宋_GB2312"/>
          <w:sz w:val="32"/>
          <w:szCs w:val="28"/>
          <w:lang w:eastAsia="zh-CN"/>
        </w:rPr>
        <w:t>水稻种质资源信息平台数据安全管理</w:t>
      </w:r>
      <w:r>
        <w:rPr>
          <w:rFonts w:hint="eastAsia" w:ascii="仿宋_GB2312" w:hAnsi="宋体" w:eastAsia="仿宋_GB2312"/>
          <w:sz w:val="32"/>
          <w:szCs w:val="28"/>
        </w:rPr>
        <w:t>实际要求的基础上，按照简化、统一等原则编制完成团体标准《</w:t>
      </w:r>
      <w:r>
        <w:rPr>
          <w:rFonts w:hint="eastAsia" w:ascii="仿宋_GB2312" w:hAnsi="宋体" w:eastAsia="仿宋_GB2312"/>
          <w:sz w:val="32"/>
          <w:szCs w:val="28"/>
          <w:lang w:eastAsia="zh-CN"/>
        </w:rPr>
        <w:t>水稻种质资源信息平台数据安全管理规范</w:t>
      </w:r>
      <w:r>
        <w:rPr>
          <w:rFonts w:hint="eastAsia" w:ascii="仿宋_GB2312" w:hAnsi="宋体" w:eastAsia="仿宋_GB2312"/>
          <w:sz w:val="32"/>
          <w:szCs w:val="28"/>
        </w:rPr>
        <w:t>》（草案）。</w:t>
      </w:r>
    </w:p>
    <w:p w14:paraId="1F6A96F1">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11</w:t>
      </w:r>
      <w:r>
        <w:rPr>
          <w:rFonts w:hint="eastAsia" w:ascii="仿宋_GB2312" w:hAnsi="宋体" w:eastAsia="仿宋_GB2312"/>
          <w:sz w:val="32"/>
          <w:szCs w:val="28"/>
        </w:rPr>
        <w:t>月</w:t>
      </w:r>
      <w:r>
        <w:rPr>
          <w:rFonts w:hint="eastAsia" w:ascii="仿宋_GB2312" w:hAnsi="宋体" w:eastAsia="仿宋_GB2312"/>
          <w:sz w:val="32"/>
          <w:szCs w:val="28"/>
          <w:lang w:val="en-US" w:eastAsia="zh-CN"/>
        </w:rPr>
        <w:t>-12月</w:t>
      </w:r>
      <w:r>
        <w:rPr>
          <w:rFonts w:hint="eastAsia" w:ascii="仿宋_GB2312" w:hAnsi="宋体" w:eastAsia="仿宋_GB2312"/>
          <w:sz w:val="32"/>
          <w:szCs w:val="28"/>
        </w:rPr>
        <w:t>，标准起草工作组到</w:t>
      </w:r>
      <w:r>
        <w:rPr>
          <w:rFonts w:ascii="仿宋_GB2312" w:hAnsi="宋体" w:eastAsia="仿宋_GB2312"/>
          <w:sz w:val="32"/>
          <w:szCs w:val="28"/>
        </w:rPr>
        <w:t>相关单位和科研机构进行调研，开展试验验证</w:t>
      </w:r>
      <w:r>
        <w:rPr>
          <w:rFonts w:hint="eastAsia" w:ascii="仿宋_GB2312" w:hAnsi="宋体" w:eastAsia="仿宋_GB2312"/>
          <w:sz w:val="32"/>
          <w:szCs w:val="28"/>
        </w:rPr>
        <w:t>。并实际征求意见，通过收集反馈了大量意见，标准编制工作组多次召开会议，对标准草案进行了反复修改和研究讨论。</w:t>
      </w:r>
      <w:r>
        <w:rPr>
          <w:rFonts w:hint="eastAsia" w:ascii="仿宋_GB2312" w:hAnsi="宋体" w:eastAsia="仿宋_GB2312"/>
          <w:sz w:val="32"/>
          <w:szCs w:val="28"/>
          <w:lang w:val="en-US" w:eastAsia="zh-CN"/>
        </w:rPr>
        <w:t>根据目前研究的成果和产业的需要</w:t>
      </w:r>
      <w:r>
        <w:rPr>
          <w:rFonts w:hint="eastAsia" w:ascii="仿宋_GB2312" w:hAnsi="宋体" w:eastAsia="仿宋_GB2312"/>
          <w:sz w:val="32"/>
          <w:szCs w:val="28"/>
          <w:lang w:eastAsia="zh-CN"/>
        </w:rPr>
        <w:t>，</w:t>
      </w:r>
      <w:r>
        <w:rPr>
          <w:rFonts w:hint="eastAsia" w:ascii="仿宋_GB2312" w:hAnsi="宋体" w:eastAsia="仿宋_GB2312"/>
          <w:sz w:val="32"/>
          <w:szCs w:val="28"/>
          <w:lang w:val="en-US" w:eastAsia="zh-CN"/>
        </w:rPr>
        <w:t>编制组一致认为应将标准他们修改为</w:t>
      </w:r>
      <w:r>
        <w:rPr>
          <w:rFonts w:hint="eastAsia" w:ascii="仿宋_GB2312" w:hAnsi="宋体" w:eastAsia="仿宋_GB2312"/>
          <w:sz w:val="32"/>
          <w:szCs w:val="28"/>
        </w:rPr>
        <w:t>《</w:t>
      </w:r>
      <w:r>
        <w:rPr>
          <w:rFonts w:hint="eastAsia" w:ascii="仿宋_GB2312" w:hAnsi="宋体" w:eastAsia="仿宋_GB2312"/>
          <w:sz w:val="32"/>
          <w:szCs w:val="28"/>
          <w:lang w:eastAsia="zh-CN"/>
        </w:rPr>
        <w:t>水稻种质资源信息平台运行维护管理规范</w:t>
      </w:r>
      <w:r>
        <w:rPr>
          <w:rFonts w:hint="eastAsia" w:ascii="仿宋_GB2312" w:hAnsi="宋体" w:eastAsia="仿宋_GB2312"/>
          <w:sz w:val="32"/>
          <w:szCs w:val="28"/>
        </w:rPr>
        <w:t>》</w:t>
      </w:r>
      <w:r>
        <w:rPr>
          <w:rFonts w:hint="eastAsia" w:ascii="仿宋_GB2312" w:hAnsi="宋体" w:eastAsia="仿宋_GB2312"/>
          <w:sz w:val="32"/>
          <w:szCs w:val="28"/>
          <w:lang w:val="en-US" w:eastAsia="zh-CN"/>
        </w:rPr>
        <w:t>，</w:t>
      </w:r>
      <w:r>
        <w:rPr>
          <w:rFonts w:hint="eastAsia" w:ascii="仿宋_GB2312" w:hAnsi="宋体" w:eastAsia="仿宋_GB2312"/>
          <w:sz w:val="32"/>
          <w:szCs w:val="28"/>
        </w:rPr>
        <w:t>进一步讨论完善标准草案，形成团体标准《</w:t>
      </w:r>
      <w:r>
        <w:rPr>
          <w:rFonts w:hint="eastAsia" w:ascii="仿宋_GB2312" w:hAnsi="宋体" w:eastAsia="仿宋_GB2312"/>
          <w:sz w:val="32"/>
          <w:szCs w:val="28"/>
          <w:lang w:eastAsia="zh-CN"/>
        </w:rPr>
        <w:t>水稻种质资源信息平台运行维护管理规范</w:t>
      </w:r>
      <w:r>
        <w:rPr>
          <w:rFonts w:hint="eastAsia" w:ascii="仿宋_GB2312" w:hAnsi="宋体" w:eastAsia="仿宋_GB2312"/>
          <w:sz w:val="32"/>
          <w:szCs w:val="28"/>
        </w:rPr>
        <w:t>》（征求意见稿）和（征求意见稿）编制说明。</w:t>
      </w:r>
    </w:p>
    <w:p w14:paraId="3B832357">
      <w:pPr>
        <w:autoSpaceDE w:val="0"/>
        <w:autoSpaceDN w:val="0"/>
        <w:adjustRightInd w:val="0"/>
        <w:jc w:val="left"/>
        <w:rPr>
          <w:rFonts w:eastAsia="黑体"/>
          <w:bCs/>
          <w:sz w:val="32"/>
          <w:szCs w:val="32"/>
        </w:rPr>
      </w:pPr>
      <w:bookmarkStart w:id="0" w:name="_Toc526940083"/>
      <w:r>
        <w:rPr>
          <w:rFonts w:eastAsia="黑体"/>
          <w:bCs/>
          <w:sz w:val="32"/>
          <w:szCs w:val="32"/>
        </w:rPr>
        <w:t>四、</w:t>
      </w:r>
      <w:bookmarkEnd w:id="0"/>
      <w:r>
        <w:rPr>
          <w:rFonts w:eastAsia="黑体"/>
          <w:bCs/>
          <w:sz w:val="32"/>
          <w:szCs w:val="32"/>
        </w:rPr>
        <w:t>制定标准的原则和依据，与现行法律、法规的关系，与有关国家标准、行业标准的协调情况</w:t>
      </w:r>
    </w:p>
    <w:p w14:paraId="30EFA250">
      <w:pPr>
        <w:pStyle w:val="10"/>
        <w:spacing w:line="560" w:lineRule="exact"/>
        <w:ind w:firstLine="0" w:firstLineChars="0"/>
        <w:outlineLvl w:val="1"/>
        <w:rPr>
          <w:rFonts w:ascii="Times New Roman" w:eastAsia="仿宋"/>
          <w:b/>
          <w:bCs/>
          <w:sz w:val="32"/>
          <w:szCs w:val="32"/>
        </w:rPr>
      </w:pPr>
      <w:r>
        <w:rPr>
          <w:rFonts w:ascii="Times New Roman" w:eastAsia="仿宋"/>
          <w:b/>
          <w:bCs/>
          <w:sz w:val="32"/>
          <w:szCs w:val="32"/>
        </w:rPr>
        <w:t>（一）编制原则</w:t>
      </w:r>
    </w:p>
    <w:p w14:paraId="7432AB81">
      <w:pPr>
        <w:tabs>
          <w:tab w:val="center" w:pos="4201"/>
          <w:tab w:val="right" w:leader="dot" w:pos="9298"/>
        </w:tabs>
        <w:autoSpaceDE w:val="0"/>
        <w:autoSpaceDN w:val="0"/>
        <w:ind w:firstLine="643"/>
        <w:outlineLvl w:val="2"/>
        <w:rPr>
          <w:rFonts w:eastAsia="仿宋"/>
          <w:b/>
          <w:bCs/>
          <w:kern w:val="0"/>
          <w:sz w:val="32"/>
          <w:szCs w:val="32"/>
        </w:rPr>
      </w:pPr>
      <w:r>
        <w:rPr>
          <w:rFonts w:eastAsia="仿宋"/>
          <w:b/>
          <w:bCs/>
          <w:kern w:val="0"/>
          <w:sz w:val="32"/>
          <w:szCs w:val="32"/>
        </w:rPr>
        <w:t>1、实用性原则</w:t>
      </w:r>
    </w:p>
    <w:p w14:paraId="096AD80F">
      <w:pPr>
        <w:ind w:firstLine="640" w:firstLineChars="200"/>
        <w:rPr>
          <w:rFonts w:ascii="仿宋_GB2312" w:hAnsi="宋体" w:eastAsia="仿宋_GB2312"/>
          <w:sz w:val="32"/>
          <w:szCs w:val="28"/>
        </w:rPr>
      </w:pPr>
      <w:r>
        <w:rPr>
          <w:rFonts w:hint="eastAsia" w:ascii="仿宋_GB2312" w:hAnsi="宋体" w:eastAsia="仿宋_GB2312"/>
          <w:sz w:val="32"/>
          <w:szCs w:val="28"/>
        </w:rPr>
        <w:t>本文件是在充分收集相关资料和文献，分析</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当前现状，在现有相关</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要求的基础上，结合编制单位</w:t>
      </w:r>
      <w:r>
        <w:rPr>
          <w:rFonts w:ascii="仿宋_GB2312" w:hAnsi="宋体" w:eastAsia="仿宋_GB2312"/>
          <w:sz w:val="32"/>
          <w:szCs w:val="28"/>
        </w:rPr>
        <w:t>多年</w:t>
      </w:r>
      <w:r>
        <w:rPr>
          <w:rFonts w:hint="eastAsia" w:ascii="仿宋_GB2312" w:hAnsi="宋体" w:eastAsia="仿宋_GB2312"/>
          <w:sz w:val="32"/>
          <w:szCs w:val="28"/>
        </w:rPr>
        <w:t>相关经验而总结起草的，符合当前</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发展的方向，具有较强的实用性和可操作性。</w:t>
      </w:r>
    </w:p>
    <w:p w14:paraId="62EF7D35">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2、协调性原则</w:t>
      </w:r>
    </w:p>
    <w:p w14:paraId="18A33837">
      <w:pPr>
        <w:ind w:firstLine="640" w:firstLineChars="200"/>
        <w:rPr>
          <w:rFonts w:ascii="仿宋_GB2312" w:hAnsi="宋体" w:eastAsia="仿宋_GB2312"/>
          <w:sz w:val="32"/>
          <w:szCs w:val="28"/>
        </w:rPr>
      </w:pPr>
      <w:r>
        <w:rPr>
          <w:rFonts w:hint="eastAsia" w:ascii="仿宋_GB2312" w:hAnsi="宋体" w:eastAsia="仿宋_GB2312"/>
          <w:sz w:val="32"/>
          <w:szCs w:val="28"/>
        </w:rPr>
        <w:t>本文件编写过程中注意了与</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相关法律法规的协调问题，在内容上与现行法律法规、标准协调一致。</w:t>
      </w:r>
    </w:p>
    <w:p w14:paraId="48B06747">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3、规范性原则</w:t>
      </w:r>
    </w:p>
    <w:p w14:paraId="3276EBB5">
      <w:pPr>
        <w:ind w:firstLine="640" w:firstLineChars="200"/>
        <w:rPr>
          <w:rFonts w:ascii="仿宋_GB2312" w:hAnsi="宋体" w:eastAsia="仿宋_GB2312"/>
          <w:sz w:val="32"/>
          <w:szCs w:val="28"/>
        </w:rPr>
      </w:pPr>
      <w:r>
        <w:rPr>
          <w:rFonts w:hint="eastAsia" w:ascii="仿宋_GB2312" w:hAnsi="宋体" w:eastAsia="仿宋_GB2312"/>
          <w:sz w:val="32"/>
          <w:szCs w:val="28"/>
        </w:rPr>
        <w:t>本文件严格参照GB/T 1.1—2020《标准化工作导则  第1部分：标准化文件的结构和起草规则》编写本标准的内容，保证标准的编写质量。</w:t>
      </w:r>
    </w:p>
    <w:p w14:paraId="173D3B39">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4、前瞻性原则</w:t>
      </w:r>
    </w:p>
    <w:p w14:paraId="2315C397">
      <w:pPr>
        <w:ind w:firstLine="640" w:firstLineChars="200"/>
        <w:rPr>
          <w:rFonts w:ascii="仿宋_GB2312" w:hAnsi="宋体" w:eastAsia="仿宋_GB2312"/>
          <w:sz w:val="32"/>
          <w:szCs w:val="28"/>
        </w:rPr>
      </w:pPr>
      <w:r>
        <w:rPr>
          <w:rFonts w:hint="eastAsia" w:ascii="仿宋_GB2312" w:hAnsi="宋体" w:eastAsia="仿宋_GB2312"/>
          <w:sz w:val="32"/>
          <w:szCs w:val="28"/>
        </w:rPr>
        <w:t>本文件在兼顾当前区内</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现实情况的同时，还考虑到了</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快速发展的趋势和需要，在标准中体现了个别特色性、前瞻性和先进性条款，作为对</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发展的指导。</w:t>
      </w:r>
    </w:p>
    <w:p w14:paraId="323DB155">
      <w:pPr>
        <w:widowControl/>
        <w:tabs>
          <w:tab w:val="center" w:pos="4201"/>
          <w:tab w:val="right" w:leader="dot" w:pos="9298"/>
        </w:tabs>
        <w:autoSpaceDE w:val="0"/>
        <w:autoSpaceDN w:val="0"/>
        <w:spacing w:line="560" w:lineRule="exact"/>
        <w:outlineLvl w:val="1"/>
        <w:rPr>
          <w:rFonts w:eastAsia="仿宋"/>
          <w:b/>
          <w:bCs/>
          <w:kern w:val="0"/>
          <w:sz w:val="32"/>
          <w:szCs w:val="32"/>
        </w:rPr>
      </w:pPr>
      <w:r>
        <w:rPr>
          <w:rFonts w:eastAsia="仿宋"/>
          <w:b/>
          <w:bCs/>
          <w:kern w:val="0"/>
          <w:sz w:val="32"/>
          <w:szCs w:val="32"/>
        </w:rPr>
        <w:t>（二）编制依据</w:t>
      </w:r>
    </w:p>
    <w:p w14:paraId="03C8CA65">
      <w:pPr>
        <w:ind w:firstLine="640" w:firstLineChars="200"/>
        <w:rPr>
          <w:rFonts w:eastAsia="仿宋"/>
          <w:sz w:val="32"/>
          <w:szCs w:val="32"/>
        </w:rPr>
      </w:pPr>
      <w:r>
        <w:rPr>
          <w:rFonts w:eastAsia="仿宋"/>
          <w:sz w:val="32"/>
          <w:szCs w:val="32"/>
        </w:rPr>
        <w:t>本标准严格按照GB/T 1.1—2020《标准化工作导则  第1部分：标准化文件的结构和起草规则》的规则起草，标准主要内容参考相关标准文件并结合起草单位多年的</w:t>
      </w:r>
      <w:r>
        <w:rPr>
          <w:rFonts w:hint="eastAsia" w:eastAsia="仿宋"/>
          <w:sz w:val="32"/>
          <w:szCs w:val="32"/>
        </w:rPr>
        <w:t>相关</w:t>
      </w:r>
      <w:r>
        <w:rPr>
          <w:rFonts w:eastAsia="仿宋"/>
          <w:sz w:val="32"/>
          <w:szCs w:val="32"/>
        </w:rPr>
        <w:t>经验</w:t>
      </w:r>
      <w:r>
        <w:rPr>
          <w:rFonts w:hint="eastAsia" w:eastAsia="仿宋"/>
          <w:sz w:val="32"/>
          <w:szCs w:val="32"/>
        </w:rPr>
        <w:t>和实践</w:t>
      </w:r>
      <w:r>
        <w:rPr>
          <w:rFonts w:eastAsia="仿宋"/>
          <w:sz w:val="32"/>
          <w:szCs w:val="32"/>
        </w:rPr>
        <w:t>验证情况总结进行起草。</w:t>
      </w:r>
    </w:p>
    <w:p w14:paraId="4909473A">
      <w:pPr>
        <w:widowControl/>
        <w:tabs>
          <w:tab w:val="center" w:pos="4201"/>
          <w:tab w:val="right" w:leader="dot" w:pos="9298"/>
        </w:tabs>
        <w:autoSpaceDE w:val="0"/>
        <w:autoSpaceDN w:val="0"/>
        <w:spacing w:line="560" w:lineRule="exact"/>
        <w:outlineLvl w:val="1"/>
        <w:rPr>
          <w:rFonts w:eastAsia="仿宋"/>
          <w:b/>
          <w:bCs/>
          <w:kern w:val="0"/>
          <w:sz w:val="32"/>
          <w:szCs w:val="32"/>
        </w:rPr>
      </w:pPr>
      <w:r>
        <w:rPr>
          <w:rFonts w:eastAsia="仿宋"/>
          <w:b/>
          <w:bCs/>
          <w:kern w:val="0"/>
          <w:sz w:val="32"/>
          <w:szCs w:val="32"/>
        </w:rPr>
        <w:t>（三）与现行法律、法规的关系，与有关国家标准、行业标准的协调情况</w:t>
      </w:r>
    </w:p>
    <w:p w14:paraId="03FE614D">
      <w:pPr>
        <w:ind w:firstLine="640" w:firstLineChars="200"/>
        <w:rPr>
          <w:rFonts w:eastAsia="仿宋"/>
          <w:sz w:val="32"/>
          <w:szCs w:val="32"/>
        </w:rPr>
      </w:pPr>
      <w:r>
        <w:rPr>
          <w:rFonts w:hint="eastAsia" w:eastAsia="仿宋"/>
          <w:sz w:val="32"/>
          <w:szCs w:val="32"/>
        </w:rPr>
        <w:t>本编制工作组承诺本标准内容与各项指标不违反相关法律法规要求，且不低于国家强制性标准、推荐性国家标准和行业标准要求。</w:t>
      </w:r>
    </w:p>
    <w:p w14:paraId="7BE12B68">
      <w:pPr>
        <w:ind w:firstLine="640" w:firstLineChars="200"/>
        <w:rPr>
          <w:rFonts w:hint="eastAsia" w:ascii="仿宋_GB2312" w:hAnsi="宋体" w:eastAsia="仿宋_GB2312"/>
          <w:sz w:val="32"/>
          <w:szCs w:val="28"/>
        </w:rPr>
      </w:pPr>
      <w:r>
        <w:rPr>
          <w:rFonts w:hint="eastAsia" w:ascii="仿宋_GB2312" w:hAnsi="宋体" w:eastAsia="仿宋_GB2312"/>
          <w:sz w:val="32"/>
          <w:szCs w:val="28"/>
        </w:rPr>
        <w:t>经查阅，目前与“种质资源 平台”“水稻种质资源 管理”“信息平台 运行维护”“信息平台 管理”“ 运行维护管理”相关的标准有：</w:t>
      </w:r>
    </w:p>
    <w:p w14:paraId="13049398">
      <w:pPr>
        <w:ind w:firstLine="640" w:firstLineChars="200"/>
        <w:rPr>
          <w:rFonts w:hint="eastAsia" w:ascii="仿宋_GB2312" w:hAnsi="宋体" w:eastAsia="仿宋_GB2312"/>
          <w:sz w:val="32"/>
          <w:szCs w:val="28"/>
        </w:rPr>
      </w:pPr>
      <w:r>
        <w:rPr>
          <w:rFonts w:hint="eastAsia" w:ascii="仿宋_GB2312" w:hAnsi="宋体" w:eastAsia="仿宋_GB2312"/>
          <w:sz w:val="32"/>
          <w:szCs w:val="28"/>
        </w:rPr>
        <w:t>GB/T 28827.1-2022《信息技术服务 运行维护 第1部分：通用要求》描述了运行维护服务能力模型,规定了运行维护的能力建设、人员、过程、技术、资源等能力要素的要求，适用于运行维护服务相关方。</w:t>
      </w:r>
    </w:p>
    <w:p w14:paraId="207F9BC6">
      <w:pPr>
        <w:ind w:firstLine="640" w:firstLineChars="200"/>
        <w:rPr>
          <w:rFonts w:hint="eastAsia" w:ascii="仿宋_GB2312" w:hAnsi="宋体" w:eastAsia="仿宋_GB2312"/>
          <w:sz w:val="32"/>
          <w:szCs w:val="28"/>
        </w:rPr>
      </w:pPr>
      <w:r>
        <w:rPr>
          <w:rFonts w:hint="eastAsia" w:ascii="仿宋_GB2312" w:hAnsi="宋体" w:eastAsia="仿宋_GB2312"/>
          <w:sz w:val="32"/>
          <w:szCs w:val="28"/>
        </w:rPr>
        <w:t>NY/T 4019-2021《水稻种质资源鉴定技术规范》规定了水稻形态特征和生物学特性的鉴定技术方法，适用于亚洲栽培稻(Oryza satia L. )地方品种、选育品种、品系、杂交稻资源、遗传材料和突变体等种质资源的形态特征和生物学特性的鉴定。</w:t>
      </w:r>
    </w:p>
    <w:p w14:paraId="4352F9A0">
      <w:pPr>
        <w:ind w:firstLine="640" w:firstLineChars="200"/>
        <w:rPr>
          <w:rFonts w:hint="eastAsia" w:ascii="仿宋_GB2312" w:hAnsi="宋体" w:eastAsia="仿宋_GB2312"/>
          <w:sz w:val="32"/>
          <w:szCs w:val="28"/>
        </w:rPr>
      </w:pPr>
      <w:r>
        <w:rPr>
          <w:rFonts w:hint="eastAsia" w:ascii="仿宋_GB2312" w:hAnsi="宋体" w:eastAsia="仿宋_GB2312"/>
          <w:sz w:val="32"/>
          <w:szCs w:val="28"/>
        </w:rPr>
        <w:t>DA∕T 56-2014 《档案信息系统运行维护规范》规定了档案信息系统在运行维护工作筹备、策划、实施、检查和改进等方面的要求。适用于各级、各类档案部门的档案信息系统运行维护工作,为开展相关工作提供指导。</w:t>
      </w:r>
    </w:p>
    <w:p w14:paraId="00529103">
      <w:pPr>
        <w:ind w:firstLine="640" w:firstLineChars="200"/>
        <w:rPr>
          <w:rFonts w:hint="eastAsia" w:ascii="仿宋_GB2312" w:hAnsi="宋体" w:eastAsia="仿宋_GB2312"/>
          <w:sz w:val="32"/>
          <w:szCs w:val="28"/>
        </w:rPr>
      </w:pPr>
      <w:r>
        <w:rPr>
          <w:rFonts w:hint="eastAsia" w:ascii="仿宋_GB2312" w:hAnsi="宋体" w:eastAsia="仿宋_GB2312"/>
          <w:sz w:val="32"/>
          <w:szCs w:val="28"/>
        </w:rPr>
        <w:t>DB13/T 5877-2023《粮食作物种质资源信息共享数据规范》规定了水稻、野生稻、小麦、小麦野生近缘植物、玉米、大豆、大麦、高粱、谷子、黍稷、燕麦、荞麦、甘薯、马铃薯、籽粒苋、小豆、豌豆、豇豆、绿豆、普通菜豆、蚕豆、饭豆、木豆、小数据规范制定原则和方法、数据集分类等技术要求。扁豆、鹰嘴豆、羽扇豆、山黛豆、黑吉豆，28种粮食作物种质资源信息共享的数据描述术语和定义数据规范制定原则和方法、数据集分类等技术要求，适用于粮食作物种质资源保存、研究以及育种相关的政府部门、机构和企业进行粮食作物种质资源信息共享。</w:t>
      </w:r>
    </w:p>
    <w:p w14:paraId="3239FEC0">
      <w:pPr>
        <w:ind w:firstLine="640" w:firstLineChars="200"/>
        <w:rPr>
          <w:rFonts w:hint="eastAsia" w:ascii="仿宋_GB2312" w:hAnsi="宋体" w:eastAsia="仿宋_GB2312"/>
          <w:sz w:val="32"/>
          <w:szCs w:val="28"/>
        </w:rPr>
      </w:pPr>
      <w:r>
        <w:rPr>
          <w:rFonts w:hint="eastAsia" w:ascii="仿宋_GB2312" w:hAnsi="宋体" w:eastAsia="仿宋_GB2312"/>
          <w:sz w:val="32"/>
          <w:szCs w:val="28"/>
        </w:rPr>
        <w:t>DB23</w:t>
      </w:r>
      <w:r>
        <w:rPr>
          <w:rFonts w:hint="eastAsia" w:ascii="仿宋_GB2312" w:hAnsi="宋体" w:eastAsia="仿宋_GB2312"/>
          <w:sz w:val="32"/>
          <w:szCs w:val="28"/>
          <w:lang w:val="en-US" w:eastAsia="zh-CN"/>
        </w:rPr>
        <w:t>/</w:t>
      </w:r>
      <w:r>
        <w:rPr>
          <w:rFonts w:hint="eastAsia" w:ascii="仿宋_GB2312" w:hAnsi="宋体" w:eastAsia="仿宋_GB2312"/>
          <w:sz w:val="32"/>
          <w:szCs w:val="28"/>
        </w:rPr>
        <w:t>T 3008—2021《水稻种质资源评价与保存技术规程》规定了水稻种质资源评价与保存的技术路线、鉴定方法、性状判定和保存方法，适用于水稻种质资源的评价与保存。</w:t>
      </w:r>
    </w:p>
    <w:p w14:paraId="0B7F2EAD">
      <w:pPr>
        <w:ind w:firstLine="640" w:firstLineChars="200"/>
        <w:rPr>
          <w:rFonts w:hint="eastAsia" w:ascii="仿宋_GB2312" w:hAnsi="宋体" w:eastAsia="仿宋_GB2312"/>
          <w:sz w:val="32"/>
          <w:szCs w:val="28"/>
        </w:rPr>
      </w:pPr>
      <w:r>
        <w:rPr>
          <w:rFonts w:hint="eastAsia" w:ascii="仿宋_GB2312" w:hAnsi="宋体" w:eastAsia="仿宋_GB2312"/>
          <w:sz w:val="32"/>
          <w:szCs w:val="28"/>
        </w:rPr>
        <w:t>DB32/T 4144-2021《公共信用信息平台运行维护管理规范》规定了各级公共信用信息平台运行维护管理的通用要求、基础设施运维、应用软件运维、安全管理和应急响应，适用于各级公共信用信息平台的运行维护管理,其他相关信用信息系统运维管理可参考使用。</w:t>
      </w:r>
    </w:p>
    <w:p w14:paraId="7FA8BB82">
      <w:pPr>
        <w:ind w:firstLine="640" w:firstLineChars="200"/>
        <w:rPr>
          <w:rFonts w:ascii="仿宋_GB2312" w:hAnsi="宋体" w:eastAsia="仿宋_GB2312"/>
          <w:sz w:val="32"/>
          <w:szCs w:val="28"/>
        </w:rPr>
      </w:pPr>
      <w:r>
        <w:rPr>
          <w:rFonts w:hint="eastAsia" w:ascii="仿宋_GB2312" w:hAnsi="宋体" w:eastAsia="仿宋_GB2312"/>
          <w:sz w:val="32"/>
          <w:szCs w:val="28"/>
        </w:rPr>
        <w:t>综上所述，目前未制定有与</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相关的标准，现行且与“水稻种质资源”相关的标准主要对其性状描述、评价鉴定等方面提出要求，均未涉及信息平台的应用和数据安全方面的管理，因此，制定团体标准《</w:t>
      </w:r>
      <w:r>
        <w:rPr>
          <w:rFonts w:hint="eastAsia" w:ascii="仿宋_GB2312" w:hAnsi="宋体" w:eastAsia="仿宋_GB2312"/>
          <w:sz w:val="32"/>
          <w:szCs w:val="28"/>
          <w:lang w:eastAsia="zh-CN"/>
        </w:rPr>
        <w:t>水稻种质资源信息平台运行维护管理规范</w:t>
      </w:r>
      <w:r>
        <w:rPr>
          <w:rFonts w:hint="eastAsia" w:ascii="仿宋_GB2312" w:hAnsi="宋体" w:eastAsia="仿宋_GB2312"/>
          <w:sz w:val="32"/>
          <w:szCs w:val="28"/>
        </w:rPr>
        <w:t>》，能够填补</w:t>
      </w:r>
      <w:r>
        <w:rPr>
          <w:rFonts w:hint="eastAsia" w:ascii="仿宋_GB2312" w:hAnsi="宋体" w:eastAsia="仿宋_GB2312"/>
          <w:sz w:val="32"/>
          <w:szCs w:val="28"/>
          <w:lang w:eastAsia="zh-CN"/>
        </w:rPr>
        <w:t>水稻种质资源信息平台运行维护管理</w:t>
      </w:r>
      <w:r>
        <w:rPr>
          <w:rFonts w:hint="eastAsia" w:ascii="仿宋_GB2312" w:hAnsi="宋体" w:eastAsia="仿宋_GB2312"/>
          <w:sz w:val="32"/>
          <w:szCs w:val="28"/>
        </w:rPr>
        <w:t>方面的标准空白，保障平台安全高效运行。</w:t>
      </w:r>
    </w:p>
    <w:p w14:paraId="14FD2F15">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五、</w:t>
      </w:r>
      <w:bookmarkEnd w:id="1"/>
      <w:r>
        <w:rPr>
          <w:rFonts w:hint="eastAsia" w:ascii="黑体" w:hAnsi="黑体" w:eastAsia="黑体" w:cs="仿宋_GB2312"/>
          <w:sz w:val="32"/>
          <w:szCs w:val="32"/>
        </w:rPr>
        <w:t>主要条款的说明</w:t>
      </w:r>
    </w:p>
    <w:p w14:paraId="246771C2">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近年来，广西农业科学院、广西农业科学院农业科技信息研究所承担了广西创新驱动发展专项《广西农作物种质资源收集鉴定与保存》等项目。广西农作物种质资源共享平台，采用B/S 结构，利用python3.6编程语言、django2.2框架、mysql-5.7数据库进行开发设计。设计了基于PC端和移动端的系统平台，外部用户通过浏览器和手机即可访问平台系统，浏览查询种质资源信息。平台系统采用多层逻辑架构，由展示层、业务逻辑层、基础组件层、数据层构成。平台功能包括种质信息库、优异种质库、育成品种库、资源获取、新闻信息、认证管理等6 大功能模块。广西农作物种质资源共享平台集成了广西最全的农作物种质资源信息数据，包含了粮食作物、经济作物、果树、蔬菜、花卉、牧草绿肥等多个农作物种质类别，分别建设了种质信息库、优异种质库和育成品种库，保存了广西第三次农作物普查数据和广西创新驱动发展专项“广西农作物种质资源收集鉴定与保存”的成果，还保存了目前广西历年育成的品种信息，收集信息齐全。建成的共享平台既有PC端的又支持手机移动端访问和查询，是目前最全面的平台农作物种质资源共享平台之一。广西农作物种质资源共享服务平台的建立在促进农业种质资源信息共享利用、政府宏观决策支持、科普教育等方面发挥十分重要的作用，此外平台对外提供信息共享服务能力，有力促进种质资源实物共享，提高资源的利用效率。</w:t>
      </w:r>
    </w:p>
    <w:p w14:paraId="62992045">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广西农业科学院水稻研究所建所以来，承担国家和省级科研项目600多项；获得国家科技进步奖和省（部）级科技成果奖80多项，其中国家特等发明奖、国家科技进步特等奖、一等奖、二等奖、三等奖共9项，广西科学技术特别贡献奖3项、省部级一等奖8项；获植物新品种保护110多项；发表学术论文500多篇，出版专著17部。先后育成七桂占、八桂香、油占八号、桂育11号、博优桂99、秋优1025、美优998、桂两优2号和丰田优553等210多个水稻品种通过国家和省级审（鉴）定，推广新品种、新技术累计达6亿多亩，创造了巨大的社会经济效益。</w:t>
      </w:r>
    </w:p>
    <w:p w14:paraId="6F7BDAD5">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综上所述，编制单位资质雄厚，在水稻种质资源和信息化方面的研究经验丰富，能够为标准的制定提供坚实的理论基础和实践经验。</w:t>
      </w:r>
    </w:p>
    <w:p w14:paraId="5003E715">
      <w:pPr>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团体标准《水稻种质资源信息平台运行维护管理规范》的主要章节内容包括：</w:t>
      </w:r>
      <w:r>
        <w:rPr>
          <w:rFonts w:hint="eastAsia" w:ascii="仿宋_GB2312" w:hAnsi="宋体" w:eastAsia="仿宋_GB2312"/>
          <w:sz w:val="32"/>
          <w:szCs w:val="28"/>
          <w:highlight w:val="none"/>
        </w:rPr>
        <w:t>术语和定义基本要求，运行管理、维护管理、</w:t>
      </w:r>
      <w:r>
        <w:rPr>
          <w:rFonts w:hint="eastAsia" w:ascii="仿宋_GB2312" w:hAnsi="宋体" w:eastAsia="仿宋_GB2312"/>
          <w:sz w:val="32"/>
          <w:szCs w:val="28"/>
          <w:highlight w:val="none"/>
          <w:lang w:val="en-US" w:eastAsia="zh-CN"/>
        </w:rPr>
        <w:t>知识产权管理、</w:t>
      </w:r>
      <w:r>
        <w:rPr>
          <w:rFonts w:hint="eastAsia" w:ascii="仿宋_GB2312" w:hAnsi="宋体" w:eastAsia="仿宋_GB2312"/>
          <w:sz w:val="32"/>
          <w:szCs w:val="28"/>
          <w:highlight w:val="none"/>
        </w:rPr>
        <w:t>安全管理、检查和改进</w:t>
      </w:r>
      <w:r>
        <w:rPr>
          <w:rFonts w:hint="eastAsia" w:ascii="仿宋_GB2312" w:hAnsi="宋体" w:eastAsia="仿宋_GB2312"/>
          <w:sz w:val="32"/>
          <w:szCs w:val="32"/>
          <w:lang w:val="zh-CN"/>
        </w:rPr>
        <w:t>。本文件主要内容及依据来源说明如下：</w:t>
      </w:r>
    </w:p>
    <w:p w14:paraId="40C50225">
      <w:pPr>
        <w:pStyle w:val="29"/>
        <w:numPr>
          <w:ilvl w:val="0"/>
          <w:numId w:val="11"/>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rPr>
        <w:t>术语与定义</w:t>
      </w:r>
    </w:p>
    <w:p w14:paraId="683521AF">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参照《SN/T 2612-2010植物种质资源鉴定方法 稻属植物的鉴定》3.2中对“稻属种质资源”的定义“稻属及属以下分类单位具有不同遗传基础的个体和群体的各种遗传材料总称。”，结合水稻的特点对水稻种质资源进行定义。</w:t>
      </w:r>
    </w:p>
    <w:p w14:paraId="3938C0FD">
      <w:pPr>
        <w:ind w:firstLine="640" w:firstLineChars="200"/>
        <w:rPr>
          <w:rFonts w:hint="default" w:ascii="仿宋_GB2312" w:hAnsi="宋体" w:eastAsia="仿宋_GB2312"/>
          <w:sz w:val="32"/>
          <w:szCs w:val="32"/>
          <w:lang w:val="zh-CN" w:eastAsia="zh-CN"/>
        </w:rPr>
      </w:pPr>
      <w:r>
        <w:rPr>
          <w:rFonts w:hint="eastAsia" w:ascii="仿宋_GB2312" w:hAnsi="宋体" w:eastAsia="仿宋_GB2312"/>
          <w:sz w:val="32"/>
          <w:szCs w:val="32"/>
          <w:lang w:val="zh-CN" w:eastAsia="zh-CN"/>
        </w:rPr>
        <w:t>此外，为了更好理解文件，根据信息平台的构成和功能对其进行定义，即在互联网环境下，把各种应用系统、数据资源和互联网资源综合集成为一体，为信息主体提供信息发布、查询、交互等信息服务的平台。</w:t>
      </w:r>
    </w:p>
    <w:p w14:paraId="5AB8EE9E">
      <w:pPr>
        <w:pStyle w:val="29"/>
        <w:numPr>
          <w:ilvl w:val="0"/>
          <w:numId w:val="11"/>
        </w:numPr>
        <w:autoSpaceDE w:val="0"/>
        <w:autoSpaceDN w:val="0"/>
        <w:adjustRightInd w:val="0"/>
        <w:spacing w:before="156" w:beforeLines="50" w:after="156" w:afterLines="50" w:line="560" w:lineRule="exact"/>
        <w:ind w:firstLineChars="0"/>
        <w:jc w:val="left"/>
        <w:rPr>
          <w:rFonts w:hint="eastAsia" w:ascii="仿宋_GB2312" w:hAnsi="宋体" w:eastAsia="仿宋_GB2312"/>
          <w:b/>
          <w:sz w:val="32"/>
          <w:szCs w:val="32"/>
          <w:lang w:val="zh-CN"/>
        </w:rPr>
      </w:pPr>
      <w:r>
        <w:rPr>
          <w:rFonts w:hint="eastAsia" w:ascii="仿宋_GB2312" w:hAnsi="宋体" w:eastAsia="仿宋_GB2312"/>
          <w:b/>
          <w:sz w:val="32"/>
          <w:szCs w:val="32"/>
          <w:lang w:val="zh-CN"/>
        </w:rPr>
        <w:t>基本要求</w:t>
      </w:r>
    </w:p>
    <w:p w14:paraId="22A6E7D6">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参照《DA∕T 56-2014 档案信息系统运行维护规范》中对于信息系统（平台）运行的基本原则（要求），结合目前水稻种质资源信息平台运行维护的要求确定。要求针对水稻种质资源信息平台进行运行维护工作，确保水稻种质资源信息平台安全、持续、可靠地运行，以提高工作效率和质量,使其更好地服务于水稻种质资源信息管理工作。建立和完善运行维护保障体系，按照规划实施运行维护工作，并对运行维护的结果、过程以及相关管理体系进行监督、检查、分析和评估，并实施改进。同时，对水稻种质资源信息平台的运行维护操作要求有记录、可追溯，便于事后回顾各操作的时间、流程及内容。此外，由于水稻种质资源信息平台的运行维护不仅需要涉及计算机应用专业的专业技术人员参与，还需要熟悉水稻育种栽培相关的专业技术人员，因此，要求平台的运行维护过程配备相应的技术人员。</w:t>
      </w:r>
    </w:p>
    <w:p w14:paraId="373F0C3E">
      <w:pPr>
        <w:ind w:firstLine="640" w:firstLineChars="200"/>
        <w:rPr>
          <w:rFonts w:hint="eastAsia" w:ascii="仿宋_GB2312" w:hAnsi="宋体" w:eastAsia="仿宋_GB2312"/>
          <w:sz w:val="32"/>
          <w:szCs w:val="32"/>
          <w:lang w:val="zh-CN"/>
        </w:rPr>
      </w:pPr>
    </w:p>
    <w:p w14:paraId="735FD483">
      <w:pPr>
        <w:pStyle w:val="29"/>
        <w:numPr>
          <w:ilvl w:val="0"/>
          <w:numId w:val="11"/>
        </w:numPr>
        <w:autoSpaceDE w:val="0"/>
        <w:autoSpaceDN w:val="0"/>
        <w:adjustRightInd w:val="0"/>
        <w:spacing w:before="156" w:beforeLines="50" w:after="156" w:afterLines="50" w:line="560" w:lineRule="exact"/>
        <w:ind w:firstLineChars="0"/>
        <w:jc w:val="left"/>
        <w:rPr>
          <w:rFonts w:hint="eastAsia" w:ascii="仿宋_GB2312" w:hAnsi="宋体" w:eastAsia="仿宋_GB2312"/>
          <w:b/>
          <w:sz w:val="32"/>
          <w:szCs w:val="32"/>
          <w:lang w:val="zh-CN"/>
        </w:rPr>
      </w:pPr>
      <w:r>
        <w:rPr>
          <w:rFonts w:hint="eastAsia" w:ascii="仿宋_GB2312" w:hAnsi="宋体" w:eastAsia="仿宋_GB2312"/>
          <w:b/>
          <w:sz w:val="32"/>
          <w:szCs w:val="32"/>
          <w:lang w:val="zh-CN"/>
        </w:rPr>
        <w:t>运行管理</w:t>
      </w:r>
    </w:p>
    <w:p w14:paraId="28E1C87F">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lang w:val="zh-CN" w:eastAsia="zh-CN"/>
        </w:rPr>
        <w:t>数据采集</w:t>
      </w:r>
    </w:p>
    <w:p w14:paraId="30B610B5">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水稻种质资源的数据采集涉及到对水稻品种的遗传多样性分析、DNA指纹鉴定、以及表型性状鉴定和评价等多个方面。水稻种质资源可以分为野生稻种质资源、本地品种资源、国外引进稻种资源、人工选育种和杂交稻资源。水稻种质资源的数据采集主要分为水稻一般性描述和水稻特性描述两大类数据，水稻一般性描述主要包含科名、属名、学名、种质类型、来源地、保存地等一般性描述；水稻特性描述按照NY/T 4019-2021《水稻种质资源鉴定技术规范》进行。</w:t>
      </w:r>
    </w:p>
    <w:p w14:paraId="7C2743F6">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val="zh-CN" w:eastAsia="zh-CN"/>
        </w:rPr>
        <w:t>、录入和更新</w:t>
      </w:r>
    </w:p>
    <w:p w14:paraId="22D8843D">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水稻是一年生作物，其生长周期可以分为几个不同的阶段，每个阶段都有其特定的生长特点。水稻生长的一般时期可以分为：萌芽期、幼苗期、分蘖期、拔节期、孕穗期、抽穗期、开花期、灌浆期、成熟期。水稻种质资源表型数据的录入与更新是一项基础工作，水稻种质资源的保存对象为水稻种子，水稻种子保存在冷库中，水稻种子在冷库中的保存温度通常应控制在-10℃至-20℃范围内。这个温度区间有助于长期保存种子，并保持其活力多年甚至更长时间。这种低温储存能够显著延缓种子的生理衰退和老化过程，使其在较长时间内保持较高的发芽率和生命力。为了让水稻种质资源长期保存并具有生命力和繁殖力，需要定期对保存的水稻种子进行繁殖并记录种质资源数据，因此需要定期对数据库中的信息进行录入和更新，以确保数据的准确性、连续性和有效性。</w:t>
      </w:r>
    </w:p>
    <w:p w14:paraId="1B7EB439">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val="zh-CN" w:eastAsia="zh-CN"/>
        </w:rPr>
        <w:t>、数据提取</w:t>
      </w:r>
    </w:p>
    <w:p w14:paraId="1D297220">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数据提取涉及从大量数据中识别、提取和整理出有价值的信息。数据提取通常包括数据清洗、数据转换和数据加载三个主要阶段。数据清洗是指去除数据中的噪声和不一致性，包括去除异常值、填补缺失值、描述格式统一等，以提高数据的质量和可用性；数据转换则是将数据转换成适合分析的格式，可能包括规范化、聚合等操作；数据加载则是将清洗和转换后的数据加载到数据库或数据仓库中，以便进行进一步的分析和处理。此外，水稻种质资源数据需要将来自同一种水稻种子在不同时间繁殖时记录的数据进行整合，形成完整的水稻种质资源生长档案数据。</w:t>
      </w:r>
    </w:p>
    <w:p w14:paraId="3A375DF6">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lang w:val="zh-CN" w:eastAsia="zh-CN"/>
        </w:rPr>
        <w:t>、数据和资源共享</w:t>
      </w:r>
    </w:p>
    <w:p w14:paraId="7D17F4C9">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水稻种质资源的共享涉及到水稻种质资源数据和遗传资源材料在科研机构、育种者和农民之间进行交流和利用。共享机制的建立需要考虑到知识产权保护、数据安全和隐私保护等问题，以确保共享活动既切实可行又安全可靠。数据的访问分为多级访问权限，通过实施最小权限原则，确保用户仅能访问完成其工作所必需的数据，从而降低数据泄露和滥用的风险。同时，定期审查和更新访问权限，以适应组织结构和业务流程的变化。资源的共享采用申请的方式进行，用户在水稻种质资源信息平台中向资源的拥有单位进行申请，审批同意后获得相关资源遗传材料。</w:t>
      </w:r>
    </w:p>
    <w:p w14:paraId="7397E87A">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val="zh-CN" w:eastAsia="zh-CN"/>
        </w:rPr>
        <w:t>、系统功能管理</w:t>
      </w:r>
    </w:p>
    <w:p w14:paraId="1FFB5E9C">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水稻种质资源信息平台通过实物与数据层、功能层和表示层三个层级，实现种质资源收集、保存、共享利用的动态管理、构建标准化规范化数据库、促进种质资源及数据的检索查询和种质资源的共享等功能。实现各保存单位种质资源信息的独立管理，又可通过表示层实现各单位信息系统的联动，同时对种质资源主管部门、保存单位和使用单位的不同需求提供三位一体的服务。</w:t>
      </w:r>
    </w:p>
    <w:p w14:paraId="404AB65E">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lang w:val="zh-CN" w:eastAsia="zh-CN"/>
        </w:rPr>
        <w:t>、用户管理</w:t>
      </w:r>
    </w:p>
    <w:p w14:paraId="17674FCF">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eastAsia="zh-CN"/>
        </w:rPr>
        <w:t>资源用户能够通过共享服务平台查询检索种质资源，并能够通过共享服务平台提出资源利用申请。并能够通过共享服务平台反馈种质资源利用成效。种质资源主管部门能够实时查看全部种质资源统计数据，资源分发利用的统计数据，资源利用成效的统计数据。资源保存单位可选择本单位的种质资源数据进行共享发布，保存单位能够对共享的资源进行管理，并实现部分或全部共享，资源保存单位能够管理本单位分发共享资源的利用成效</w:t>
      </w:r>
    </w:p>
    <w:p w14:paraId="4A163768">
      <w:pPr>
        <w:pStyle w:val="29"/>
        <w:numPr>
          <w:ilvl w:val="0"/>
          <w:numId w:val="11"/>
        </w:numPr>
        <w:autoSpaceDE w:val="0"/>
        <w:autoSpaceDN w:val="0"/>
        <w:adjustRightInd w:val="0"/>
        <w:spacing w:before="156" w:beforeLines="50" w:after="156" w:afterLines="50" w:line="560" w:lineRule="exact"/>
        <w:ind w:firstLineChars="0"/>
        <w:jc w:val="left"/>
        <w:rPr>
          <w:rFonts w:hint="eastAsia" w:ascii="仿宋_GB2312" w:hAnsi="宋体" w:eastAsia="仿宋_GB2312"/>
          <w:b/>
          <w:sz w:val="32"/>
          <w:szCs w:val="32"/>
          <w:lang w:val="zh-CN"/>
        </w:rPr>
      </w:pPr>
      <w:r>
        <w:rPr>
          <w:rFonts w:hint="eastAsia" w:ascii="仿宋_GB2312" w:hAnsi="宋体" w:eastAsia="仿宋_GB2312"/>
          <w:b/>
          <w:sz w:val="32"/>
          <w:szCs w:val="32"/>
          <w:lang w:val="zh-CN"/>
        </w:rPr>
        <w:t>维护管理</w:t>
      </w:r>
    </w:p>
    <w:p w14:paraId="0C05726B">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1、</w:t>
      </w:r>
      <w:r>
        <w:rPr>
          <w:rFonts w:hint="eastAsia" w:ascii="仿宋_GB2312" w:hAnsi="宋体" w:eastAsia="仿宋_GB2312"/>
          <w:sz w:val="32"/>
          <w:szCs w:val="32"/>
          <w:lang w:val="zh-CN"/>
        </w:rPr>
        <w:t>硬件设备维护</w:t>
      </w:r>
    </w:p>
    <w:p w14:paraId="55F49C2A">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信息化平台的硬件设备管理涉及安装、检查、优化、变更和故障处理等多个环节。首先，在硬件设备的安装阶段，需要严格按照技术规范进行，确保所有设备正确连接并配置，以保证平台的稳定运行。随后，</w:t>
      </w:r>
      <w:r>
        <w:rPr>
          <w:rFonts w:hint="eastAsia" w:ascii="仿宋_GB2312" w:hAnsi="宋体" w:eastAsia="仿宋_GB2312"/>
          <w:sz w:val="32"/>
          <w:szCs w:val="32"/>
          <w:lang w:val="zh-CN" w:eastAsia="zh-CN"/>
        </w:rPr>
        <w:t>需要开展</w:t>
      </w:r>
      <w:r>
        <w:rPr>
          <w:rFonts w:hint="eastAsia" w:ascii="仿宋_GB2312" w:hAnsi="宋体" w:eastAsia="仿宋_GB2312"/>
          <w:sz w:val="32"/>
          <w:szCs w:val="32"/>
          <w:lang w:val="zh-CN"/>
        </w:rPr>
        <w:t>定期的检查工作，这包括对服务器、存储设备、网络设施等进行性能监控和物理检查，以预防潜在的故障和性能瓶颈。在优化环节，根据检查结果和性能数据，对硬件配置进行调整，比如升级内存、增加存储容量或</w:t>
      </w:r>
      <w:r>
        <w:rPr>
          <w:rFonts w:hint="eastAsia" w:ascii="仿宋_GB2312" w:hAnsi="宋体" w:eastAsia="仿宋_GB2312"/>
          <w:sz w:val="32"/>
          <w:szCs w:val="32"/>
          <w:lang w:val="zh-CN" w:eastAsia="zh-CN"/>
        </w:rPr>
        <w:t>增加带宽</w:t>
      </w:r>
      <w:r>
        <w:rPr>
          <w:rFonts w:hint="eastAsia" w:ascii="仿宋_GB2312" w:hAnsi="宋体" w:eastAsia="仿宋_GB2312"/>
          <w:sz w:val="32"/>
          <w:szCs w:val="32"/>
          <w:lang w:val="zh-CN"/>
        </w:rPr>
        <w:t>，以提升整体性能和响应速度。硬件的升级或更换都需要经过严格的审批流程，并在变更前后进行详尽的测试，以确保变更不会对现有系统造成负面影响。当硬件故障发生时，</w:t>
      </w:r>
      <w:r>
        <w:rPr>
          <w:rFonts w:hint="eastAsia" w:ascii="仿宋_GB2312" w:hAnsi="宋体" w:eastAsia="仿宋_GB2312"/>
          <w:sz w:val="32"/>
          <w:szCs w:val="32"/>
          <w:lang w:val="zh-CN" w:eastAsia="zh-CN"/>
        </w:rPr>
        <w:t>需要建立</w:t>
      </w:r>
      <w:r>
        <w:rPr>
          <w:rFonts w:hint="eastAsia" w:ascii="仿宋_GB2312" w:hAnsi="宋体" w:eastAsia="仿宋_GB2312"/>
          <w:sz w:val="32"/>
          <w:szCs w:val="32"/>
          <w:lang w:val="zh-CN"/>
        </w:rPr>
        <w:t>快速有效的故障处理机制</w:t>
      </w:r>
      <w:r>
        <w:rPr>
          <w:rFonts w:hint="eastAsia" w:ascii="仿宋_GB2312" w:hAnsi="宋体" w:eastAsia="仿宋_GB2312"/>
          <w:sz w:val="32"/>
          <w:szCs w:val="32"/>
          <w:lang w:val="zh-CN" w:eastAsia="zh-CN"/>
        </w:rPr>
        <w:t>，</w:t>
      </w:r>
      <w:r>
        <w:rPr>
          <w:rFonts w:hint="eastAsia" w:ascii="仿宋_GB2312" w:hAnsi="宋体" w:eastAsia="仿宋_GB2312"/>
          <w:sz w:val="32"/>
          <w:szCs w:val="32"/>
          <w:lang w:val="zh-CN"/>
        </w:rPr>
        <w:t>这要求有一个预先制定的故障响应计划，包括故障诊断、快速定位问题、备用设备切换以及后续的修复或更换。此外，所有硬件设备的维护和操作记录都应详细记录，以便于问题追踪和未来参考。通过这些综合措施，可以确保信息化平台硬件设备的高效、稳定和安全运行。</w:t>
      </w:r>
    </w:p>
    <w:p w14:paraId="2DFD2FD5">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val="zh-CN"/>
        </w:rPr>
        <w:t>、基础软件维护</w:t>
      </w:r>
    </w:p>
    <w:p w14:paraId="4E63DB2F">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信息化平台的基础软件维护涉及到操作系统、数据库、中间件等核心软件的定期检查、更新和优化。首先，基础软件的维护需要遵循严格的更新和打补丁流程，以确保系统免受已知安全漏洞的影响。及时</w:t>
      </w:r>
      <w:r>
        <w:rPr>
          <w:rFonts w:hint="eastAsia" w:ascii="仿宋_GB2312" w:hAnsi="宋体" w:eastAsia="仿宋_GB2312"/>
          <w:sz w:val="32"/>
          <w:szCs w:val="32"/>
          <w:lang w:val="zh-CN" w:eastAsia="zh-CN"/>
        </w:rPr>
        <w:t>升级</w:t>
      </w:r>
      <w:r>
        <w:rPr>
          <w:rFonts w:hint="eastAsia" w:ascii="仿宋_GB2312" w:hAnsi="宋体" w:eastAsia="仿宋_GB2312"/>
          <w:sz w:val="32"/>
          <w:szCs w:val="32"/>
          <w:lang w:val="zh-CN"/>
        </w:rPr>
        <w:t>安全补丁和更新，在生产环境部署前在测试环境中进行充分的测试。其次，性能监控和调优是基础软件维护的重要组成部分。通过监控工具实时跟踪系统性能指标，如CPU使用率、内存消耗、磁盘I/O等，可以及时发现性能瓶颈并进行优化。数据备份和恢复策略也是基础软件维护中不可忽视的一环。定期备份关键数据，并验证备份数据的完整性和可恢复性，是防止数据丢失和确保业务连续性的重要措施。</w:t>
      </w:r>
      <w:r>
        <w:rPr>
          <w:rFonts w:hint="eastAsia" w:ascii="仿宋_GB2312" w:hAnsi="宋体" w:eastAsia="仿宋_GB2312"/>
          <w:sz w:val="32"/>
          <w:szCs w:val="32"/>
          <w:lang w:val="zh-CN" w:eastAsia="zh-CN"/>
        </w:rPr>
        <w:t>最后</w:t>
      </w:r>
      <w:r>
        <w:rPr>
          <w:rFonts w:hint="eastAsia" w:ascii="仿宋_GB2312" w:hAnsi="宋体" w:eastAsia="仿宋_GB2312"/>
          <w:sz w:val="32"/>
          <w:szCs w:val="32"/>
          <w:lang w:val="zh-CN"/>
        </w:rPr>
        <w:t>，还需要对基础软件进行定期的健康检查，包括磁盘空间检查、日志文件管理、服务状态检查等，以确保系统运行在最佳状态。在变更管理方面，任何对基础软件的变更都应经过严格的审批和测试流程，以避免对生产环境造成不必要的风险。</w:t>
      </w:r>
    </w:p>
    <w:p w14:paraId="464E2637">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val="zh-CN"/>
        </w:rPr>
        <w:t>、数据库维护</w:t>
      </w:r>
    </w:p>
    <w:p w14:paraId="09F1E08C">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数据库维护包括定期执行数据库备份，以防止数据丢失和确保业务连续性。需要监控数据库性能，通过查询优化、索引调整和存储结构优化来提升查询效率。定期检查和清理数据库日志，以识别和解决潜在的性能问题。</w:t>
      </w:r>
      <w:r>
        <w:rPr>
          <w:rFonts w:hint="eastAsia" w:ascii="仿宋_GB2312" w:hAnsi="宋体" w:eastAsia="仿宋_GB2312"/>
          <w:sz w:val="32"/>
          <w:szCs w:val="32"/>
          <w:lang w:val="zh-CN" w:eastAsia="zh-CN"/>
        </w:rPr>
        <w:t>最后</w:t>
      </w:r>
      <w:r>
        <w:rPr>
          <w:rFonts w:hint="eastAsia" w:ascii="仿宋_GB2312" w:hAnsi="宋体" w:eastAsia="仿宋_GB2312"/>
          <w:sz w:val="32"/>
          <w:szCs w:val="32"/>
          <w:lang w:val="zh-CN"/>
        </w:rPr>
        <w:t>，数据库的安全性维护也不可忽视，包括实施访问控制、定期更新安全策略和监控异常活动。通过这些维护措施，可以确保数据库系统的稳定性、安全性和高效性，为信息化平台提供坚实的数据支持。</w:t>
      </w:r>
    </w:p>
    <w:p w14:paraId="5F122C6B">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4</w:t>
      </w:r>
      <w:r>
        <w:rPr>
          <w:rFonts w:hint="eastAsia" w:ascii="仿宋_GB2312" w:hAnsi="宋体" w:eastAsia="仿宋_GB2312"/>
          <w:sz w:val="32"/>
          <w:szCs w:val="32"/>
          <w:lang w:val="zh-CN"/>
        </w:rPr>
        <w:t>、网络和安全设备维护</w:t>
      </w:r>
    </w:p>
    <w:p w14:paraId="65FD69AA">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网络和安全设备的维护包括定期检查网络设备如路由器、交换机、防火墙等，以确保它们正常运行。维护工作也涉及到定期更新设备的固件和软件，以提高系统的安全性和稳定性。建立网络设备的备份对于快速恢复在出现故障时至关重要。在安全设备方面，维护工作包括定期更新安全补丁，及时修复漏洞，以防止病毒攻击和黑客入侵。设立防火墙来阻挡非法入侵和恶意攻击，使用强密码并定期更换，以及限制用户的访问权限，都是维护安全的重要组成部分。配置访问控制列表，限制无关人员的访问权限，以及监控网络设备的日志信息，及时发现异常情况，对于保障网络安全同样重要。</w:t>
      </w:r>
    </w:p>
    <w:p w14:paraId="293955A9">
      <w:pPr>
        <w:pStyle w:val="29"/>
        <w:numPr>
          <w:ilvl w:val="0"/>
          <w:numId w:val="11"/>
        </w:numPr>
        <w:autoSpaceDE w:val="0"/>
        <w:autoSpaceDN w:val="0"/>
        <w:adjustRightInd w:val="0"/>
        <w:spacing w:before="156" w:beforeLines="50" w:after="156" w:afterLines="50" w:line="560" w:lineRule="exact"/>
        <w:ind w:firstLineChars="0"/>
        <w:jc w:val="left"/>
        <w:rPr>
          <w:rFonts w:hint="eastAsia" w:ascii="仿宋_GB2312" w:hAnsi="宋体" w:eastAsia="仿宋_GB2312"/>
          <w:b/>
          <w:sz w:val="32"/>
          <w:szCs w:val="32"/>
          <w:lang w:val="zh-CN"/>
        </w:rPr>
      </w:pPr>
      <w:r>
        <w:rPr>
          <w:rFonts w:hint="eastAsia" w:ascii="仿宋_GB2312" w:hAnsi="宋体" w:eastAsia="仿宋_GB2312"/>
          <w:b/>
          <w:sz w:val="32"/>
          <w:szCs w:val="32"/>
          <w:lang w:val="en-US" w:eastAsia="zh-CN"/>
        </w:rPr>
        <w:t>知识产权</w:t>
      </w:r>
      <w:r>
        <w:rPr>
          <w:rFonts w:hint="eastAsia" w:ascii="仿宋_GB2312" w:hAnsi="宋体" w:eastAsia="仿宋_GB2312"/>
          <w:b/>
          <w:sz w:val="32"/>
          <w:szCs w:val="32"/>
          <w:lang w:val="zh-CN"/>
        </w:rPr>
        <w:t>管理</w:t>
      </w:r>
    </w:p>
    <w:p w14:paraId="7B5ADEE5">
      <w:pPr>
        <w:ind w:firstLine="640" w:firstLineChars="200"/>
        <w:rPr>
          <w:rFonts w:hint="eastAsia" w:ascii="仿宋_GB2312" w:hAnsi="宋体" w:eastAsia="仿宋_GB2312" w:cs="Times New Roman"/>
          <w:sz w:val="32"/>
          <w:szCs w:val="32"/>
          <w:lang w:val="zh-CN" w:eastAsia="zh-CN"/>
        </w:rPr>
      </w:pPr>
      <w:r>
        <w:rPr>
          <w:rFonts w:hint="eastAsia" w:ascii="仿宋_GB2312" w:hAnsi="宋体" w:eastAsia="仿宋_GB2312" w:cs="Times New Roman"/>
          <w:sz w:val="32"/>
          <w:szCs w:val="32"/>
          <w:lang w:val="en-US" w:eastAsia="zh-CN"/>
        </w:rPr>
        <w:t>主要根据种质资源保护的相关规定，对从知识产权的角度对种质资源保护的知识产权管理提出相关要求，以明确各方工作，确保平台运行通畅。要求</w:t>
      </w:r>
      <w:r>
        <w:rPr>
          <w:rFonts w:hint="eastAsia" w:ascii="仿宋_GB2312" w:hAnsi="宋体" w:eastAsia="仿宋_GB2312" w:cs="Times New Roman"/>
          <w:sz w:val="32"/>
          <w:szCs w:val="32"/>
          <w:lang w:val="zh-CN" w:eastAsia="zh-CN"/>
        </w:rPr>
        <w:t>保护单位在本平台发布的种质资源信息应与实物资源对应，发布信息真实由保护单位负责。通过本平台分发种质资源保护单位应确保种子活力，保护单位资源分发可免费或收取一定费用，具体费用由保护单位与资源用户协商，本平台不对价格负责。引种单位不得将保护单位育成的上述种子或繁殖材料转让给第三方。引种单位不得更改上述品种名称（从中系统选育的材料用新名视同改名）。引种单位保证不将所获取种质资源直接用于获取商业利益，申请知识产权及专利。</w:t>
      </w:r>
      <w:r>
        <w:rPr>
          <w:rFonts w:hint="eastAsia" w:ascii="仿宋_GB2312" w:hAnsi="宋体" w:eastAsia="仿宋_GB2312" w:cs="Times New Roman"/>
          <w:sz w:val="32"/>
          <w:szCs w:val="32"/>
          <w:lang w:val="en-US" w:eastAsia="zh-CN"/>
        </w:rPr>
        <w:t>此外，要求</w:t>
      </w:r>
      <w:r>
        <w:rPr>
          <w:rFonts w:hint="eastAsia" w:ascii="仿宋_GB2312" w:hAnsi="宋体" w:eastAsia="仿宋_GB2312" w:cs="Times New Roman"/>
          <w:sz w:val="32"/>
          <w:szCs w:val="32"/>
          <w:lang w:val="zh-CN" w:eastAsia="zh-CN"/>
        </w:rPr>
        <w:t>未经保护单位同意，引种单位不得向第三方提供上述种质资源。</w:t>
      </w:r>
      <w:r>
        <w:rPr>
          <w:rFonts w:hint="eastAsia" w:ascii="仿宋_GB2312" w:hAnsi="宋体" w:eastAsia="仿宋_GB2312" w:cs="Times New Roman"/>
          <w:sz w:val="32"/>
          <w:szCs w:val="32"/>
          <w:lang w:val="en-US" w:eastAsia="zh-CN"/>
        </w:rPr>
        <w:t>明确要求</w:t>
      </w:r>
      <w:r>
        <w:rPr>
          <w:rFonts w:hint="eastAsia" w:ascii="仿宋_GB2312" w:hAnsi="宋体" w:eastAsia="仿宋_GB2312" w:cs="Times New Roman"/>
          <w:sz w:val="32"/>
          <w:szCs w:val="32"/>
          <w:lang w:val="zh-CN" w:eastAsia="zh-CN"/>
        </w:rPr>
        <w:t>引种单位利用保护单位育成的上述品种配组筛选并获审定的杂交水稻新品种的知识产权归保护单位和引种单位双方所有。</w:t>
      </w:r>
    </w:p>
    <w:p w14:paraId="19C4EDD5">
      <w:pPr>
        <w:pStyle w:val="29"/>
        <w:numPr>
          <w:ilvl w:val="0"/>
          <w:numId w:val="11"/>
        </w:numPr>
        <w:autoSpaceDE w:val="0"/>
        <w:autoSpaceDN w:val="0"/>
        <w:adjustRightInd w:val="0"/>
        <w:spacing w:before="156" w:beforeLines="50" w:after="156" w:afterLines="50" w:line="560" w:lineRule="exact"/>
        <w:ind w:firstLineChars="0"/>
        <w:jc w:val="left"/>
        <w:rPr>
          <w:rFonts w:hint="eastAsia" w:ascii="仿宋_GB2312" w:hAnsi="宋体" w:eastAsia="仿宋_GB2312"/>
          <w:b/>
          <w:sz w:val="32"/>
          <w:szCs w:val="32"/>
          <w:lang w:val="zh-CN"/>
        </w:rPr>
      </w:pPr>
      <w:r>
        <w:rPr>
          <w:rFonts w:hint="eastAsia" w:ascii="仿宋_GB2312" w:hAnsi="宋体" w:eastAsia="仿宋_GB2312"/>
          <w:b/>
          <w:sz w:val="32"/>
          <w:szCs w:val="32"/>
          <w:lang w:val="en-US" w:eastAsia="zh-CN"/>
        </w:rPr>
        <w:t>安全管理</w:t>
      </w:r>
    </w:p>
    <w:p w14:paraId="130C8532">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包括</w:t>
      </w:r>
      <w:r>
        <w:rPr>
          <w:rFonts w:hint="eastAsia" w:ascii="仿宋_GB2312" w:hAnsi="宋体" w:eastAsia="仿宋_GB2312"/>
          <w:sz w:val="32"/>
          <w:szCs w:val="32"/>
          <w:lang w:val="zh-CN"/>
        </w:rPr>
        <w:t>信息系统安全等级保护</w:t>
      </w:r>
      <w:r>
        <w:rPr>
          <w:rFonts w:hint="eastAsia" w:ascii="仿宋_GB2312" w:hAnsi="宋体" w:eastAsia="仿宋_GB2312"/>
          <w:sz w:val="32"/>
          <w:szCs w:val="32"/>
          <w:lang w:val="zh-CN" w:eastAsia="zh-CN"/>
        </w:rPr>
        <w:t>、风险评估、安全机制和策略、安全监控、安全响应机制、安全预警发布机制等方面的管理，内容主要参照《DA∕T 56-2014 档案信息系统运行维护规范》中第七章的相关内容进行。</w:t>
      </w:r>
    </w:p>
    <w:p w14:paraId="16F0F13E">
      <w:pPr>
        <w:ind w:firstLine="640" w:firstLineChars="200"/>
        <w:rPr>
          <w:rFonts w:hint="eastAsia" w:ascii="仿宋_GB2312" w:hAnsi="宋体" w:eastAsia="仿宋_GB2312"/>
          <w:sz w:val="32"/>
          <w:szCs w:val="32"/>
          <w:lang w:val="zh-CN" w:eastAsia="zh-CN"/>
        </w:rPr>
      </w:pPr>
    </w:p>
    <w:p w14:paraId="3C2AE07A">
      <w:pPr>
        <w:pStyle w:val="29"/>
        <w:numPr>
          <w:ilvl w:val="0"/>
          <w:numId w:val="11"/>
        </w:numPr>
        <w:autoSpaceDE w:val="0"/>
        <w:autoSpaceDN w:val="0"/>
        <w:adjustRightInd w:val="0"/>
        <w:spacing w:before="156" w:beforeLines="50" w:after="156" w:afterLines="50" w:line="560" w:lineRule="exact"/>
        <w:ind w:firstLineChars="0"/>
        <w:jc w:val="left"/>
        <w:rPr>
          <w:rFonts w:hint="eastAsia" w:ascii="仿宋_GB2312" w:hAnsi="宋体" w:eastAsia="仿宋_GB2312"/>
          <w:b/>
          <w:sz w:val="32"/>
          <w:szCs w:val="32"/>
          <w:lang w:val="zh-CN"/>
        </w:rPr>
      </w:pPr>
      <w:r>
        <w:rPr>
          <w:rFonts w:hint="eastAsia" w:ascii="仿宋_GB2312" w:hAnsi="宋体" w:eastAsia="仿宋_GB2312"/>
          <w:b/>
          <w:sz w:val="32"/>
          <w:szCs w:val="32"/>
          <w:lang w:val="zh-CN"/>
        </w:rPr>
        <w:t>检查和改进</w:t>
      </w:r>
    </w:p>
    <w:p w14:paraId="17542D5C">
      <w:pPr>
        <w:ind w:firstLine="640" w:firstLineChars="2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主要参照《DA∕T 56-2014 档案信息系统运行维护规范》中的第8章和第9章相关内容进行。</w:t>
      </w:r>
    </w:p>
    <w:p w14:paraId="412D30FF">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2" w:name="_Toc526940086"/>
      <w:r>
        <w:rPr>
          <w:rFonts w:hint="eastAsia" w:ascii="黑体" w:hAnsi="黑体" w:eastAsia="黑体" w:cs="仿宋_GB2312"/>
          <w:sz w:val="32"/>
          <w:szCs w:val="32"/>
        </w:rPr>
        <w:t>六、</w:t>
      </w:r>
      <w:bookmarkEnd w:id="2"/>
      <w:r>
        <w:rPr>
          <w:rFonts w:hint="eastAsia" w:ascii="黑体" w:hAnsi="黑体" w:eastAsia="黑体" w:cs="仿宋_GB2312"/>
          <w:sz w:val="32"/>
          <w:szCs w:val="32"/>
        </w:rPr>
        <w:t>重大分歧意见的处理经过和依据</w:t>
      </w:r>
    </w:p>
    <w:p w14:paraId="7DBD7D8D">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本标准研制过程中无重大分歧意见。</w:t>
      </w:r>
    </w:p>
    <w:p w14:paraId="69867F09">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七</w:t>
      </w:r>
      <w:r>
        <w:rPr>
          <w:rFonts w:ascii="黑体" w:hAnsi="黑体" w:eastAsia="黑体" w:cs="仿宋_GB2312"/>
          <w:sz w:val="32"/>
          <w:szCs w:val="32"/>
        </w:rPr>
        <w:t>、</w:t>
      </w:r>
      <w:r>
        <w:rPr>
          <w:rFonts w:hint="eastAsia" w:ascii="黑体" w:hAnsi="黑体" w:eastAsia="黑体" w:cs="仿宋_GB2312"/>
          <w:sz w:val="32"/>
          <w:szCs w:val="32"/>
        </w:rPr>
        <w:t>实施标准的措施</w:t>
      </w:r>
    </w:p>
    <w:p w14:paraId="67C45D00">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（一）标准报批发布后，成立标准宣贯工作组</w:t>
      </w:r>
    </w:p>
    <w:p w14:paraId="7330B5F1">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（二）组织开展标准宣贯培训</w:t>
      </w:r>
    </w:p>
    <w:p w14:paraId="38C99CE1">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（三）开展标准实施交流会，收集标准实施反馈信息</w:t>
      </w:r>
    </w:p>
    <w:p w14:paraId="336AB236">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（四）开展标准实施效果评估</w:t>
      </w:r>
    </w:p>
    <w:p w14:paraId="7DE0DDFE">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八、其他应当说明的事项</w:t>
      </w:r>
    </w:p>
    <w:p w14:paraId="23A53EB2">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无。</w:t>
      </w:r>
    </w:p>
    <w:p w14:paraId="1562F1AF">
      <w:pPr>
        <w:spacing w:line="560" w:lineRule="exact"/>
        <w:rPr>
          <w:rFonts w:ascii="仿宋_GB2312" w:hAnsi="仿宋" w:eastAsia="仿宋_GB2312"/>
          <w:bCs/>
          <w:color w:val="000000"/>
          <w:sz w:val="36"/>
          <w:szCs w:val="32"/>
        </w:rPr>
      </w:pPr>
    </w:p>
    <w:p w14:paraId="0FDE70D6">
      <w:pPr>
        <w:spacing w:line="560" w:lineRule="exact"/>
        <w:rPr>
          <w:rFonts w:ascii="仿宋_GB2312" w:hAnsi="仿宋" w:eastAsia="仿宋_GB2312"/>
          <w:bCs/>
          <w:color w:val="000000"/>
          <w:sz w:val="36"/>
          <w:szCs w:val="32"/>
        </w:rPr>
      </w:pPr>
    </w:p>
    <w:p w14:paraId="639B864D">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rPr>
        <w:t xml:space="preserve"> 团体标准《</w:t>
      </w:r>
      <w:r>
        <w:rPr>
          <w:rFonts w:hint="eastAsia" w:ascii="仿宋_GB2312" w:hAnsi="宋体" w:eastAsia="仿宋_GB2312"/>
          <w:sz w:val="32"/>
          <w:szCs w:val="28"/>
          <w:lang w:eastAsia="zh-CN"/>
        </w:rPr>
        <w:t>水稻种质资源信息平台运行维护管理规范</w:t>
      </w:r>
      <w:r>
        <w:rPr>
          <w:rFonts w:hint="eastAsia" w:ascii="仿宋_GB2312" w:hAnsi="宋体" w:eastAsia="仿宋_GB2312"/>
          <w:sz w:val="32"/>
          <w:szCs w:val="28"/>
        </w:rPr>
        <w:t>》</w:t>
      </w:r>
    </w:p>
    <w:p w14:paraId="607C1987">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rPr>
        <w:t xml:space="preserve">标准编制工作组 </w:t>
      </w:r>
      <w:r>
        <w:rPr>
          <w:rFonts w:ascii="仿宋_GB2312" w:hAnsi="宋体" w:eastAsia="仿宋_GB2312"/>
          <w:sz w:val="32"/>
          <w:szCs w:val="28"/>
        </w:rPr>
        <w:t xml:space="preserve">        </w:t>
      </w:r>
    </w:p>
    <w:p w14:paraId="13EC3CEB">
      <w:pPr>
        <w:wordWrap w:val="0"/>
        <w:spacing w:line="560" w:lineRule="exact"/>
        <w:jc w:val="right"/>
        <w:rPr>
          <w:rFonts w:ascii="仿宋_GB2312" w:hAnsi="宋体" w:eastAsia="仿宋_GB2312"/>
          <w:color w:val="FF0000"/>
          <w:sz w:val="32"/>
          <w:szCs w:val="28"/>
        </w:rPr>
      </w:pPr>
      <w:r>
        <w:rPr>
          <w:rFonts w:hint="eastAsia" w:ascii="仿宋_GB2312" w:hAnsi="宋体" w:eastAsia="仿宋_GB2312"/>
          <w:color w:val="auto"/>
          <w:sz w:val="32"/>
          <w:szCs w:val="28"/>
        </w:rPr>
        <w:t>202</w:t>
      </w:r>
      <w:r>
        <w:rPr>
          <w:rFonts w:ascii="仿宋_GB2312" w:hAnsi="宋体" w:eastAsia="仿宋_GB2312"/>
          <w:color w:val="auto"/>
          <w:sz w:val="32"/>
          <w:szCs w:val="28"/>
        </w:rPr>
        <w:t>4</w:t>
      </w:r>
      <w:r>
        <w:rPr>
          <w:rFonts w:hint="eastAsia" w:ascii="仿宋_GB2312" w:hAnsi="宋体" w:eastAsia="仿宋_GB2312"/>
          <w:color w:val="auto"/>
          <w:sz w:val="32"/>
          <w:szCs w:val="28"/>
        </w:rPr>
        <w:t>年</w:t>
      </w:r>
      <w:r>
        <w:rPr>
          <w:rFonts w:hint="eastAsia" w:ascii="仿宋_GB2312" w:hAnsi="宋体" w:eastAsia="仿宋_GB2312"/>
          <w:color w:val="auto"/>
          <w:sz w:val="32"/>
          <w:szCs w:val="28"/>
          <w:lang w:val="en-US" w:eastAsia="zh-CN"/>
        </w:rPr>
        <w:t>12</w:t>
      </w:r>
      <w:r>
        <w:rPr>
          <w:rFonts w:hint="eastAsia" w:ascii="仿宋_GB2312" w:hAnsi="宋体" w:eastAsia="仿宋_GB2312"/>
          <w:color w:val="auto"/>
          <w:sz w:val="32"/>
          <w:szCs w:val="28"/>
        </w:rPr>
        <w:t>月</w:t>
      </w:r>
      <w:r>
        <w:rPr>
          <w:rFonts w:hint="eastAsia" w:ascii="仿宋_GB2312" w:hAnsi="宋体" w:eastAsia="仿宋_GB2312"/>
          <w:color w:val="auto"/>
          <w:sz w:val="32"/>
          <w:szCs w:val="28"/>
          <w:lang w:val="en-US" w:eastAsia="zh-CN"/>
        </w:rPr>
        <w:t>15</w:t>
      </w:r>
      <w:bookmarkStart w:id="3" w:name="_GoBack"/>
      <w:bookmarkEnd w:id="3"/>
      <w:r>
        <w:rPr>
          <w:rFonts w:hint="eastAsia" w:ascii="仿宋_GB2312" w:hAnsi="宋体" w:eastAsia="仿宋_GB2312"/>
          <w:color w:val="auto"/>
          <w:sz w:val="32"/>
          <w:szCs w:val="28"/>
        </w:rPr>
        <w:t xml:space="preserve">日       </w:t>
      </w:r>
      <w:r>
        <w:rPr>
          <w:rFonts w:ascii="仿宋_GB2312" w:hAnsi="宋体" w:eastAsia="仿宋_GB2312"/>
          <w:color w:val="FF0000"/>
          <w:sz w:val="32"/>
          <w:szCs w:val="28"/>
        </w:rPr>
        <w:t xml:space="preserve"> </w:t>
      </w:r>
    </w:p>
    <w:sectPr>
      <w:footerReference r:id="rId3" w:type="default"/>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3"/>
          <w:jc w:val="center"/>
        </w:pPr>
        <w:r>
          <w:fldChar w:fldCharType="begin"/>
        </w:r>
        <w:r>
          <w:instrText xml:space="preserve">PAGE   \* MERGEFORMAT</w:instrText>
        </w:r>
        <w:r>
          <w:fldChar w:fldCharType="separate"/>
        </w:r>
        <w:r>
          <w:rPr>
            <w:lang w:val="zh-CN"/>
          </w:rPr>
          <w:t>7</w:t>
        </w:r>
        <w:r>
          <w:fldChar w:fldCharType="end"/>
        </w:r>
      </w:p>
    </w:sdtContent>
  </w:sdt>
  <w:p w14:paraId="76F9E80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4"/>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20F0D74"/>
    <w:multiLevelType w:val="multilevel"/>
    <w:tmpl w:val="120F0D74"/>
    <w:lvl w:ilvl="0" w:tentative="0">
      <w:start w:val="1"/>
      <w:numFmt w:val="japaneseCounting"/>
      <w:lvlText w:val="（%1）"/>
      <w:lvlJc w:val="left"/>
      <w:pPr>
        <w:ind w:left="1005" w:hanging="10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BF583A"/>
    <w:multiLevelType w:val="multilevel"/>
    <w:tmpl w:val="1DBF583A"/>
    <w:lvl w:ilvl="0" w:tentative="0">
      <w:start w:val="1"/>
      <w:numFmt w:val="decimal"/>
      <w:pStyle w:val="2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6"/>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44C50F90"/>
    <w:multiLevelType w:val="multilevel"/>
    <w:tmpl w:val="44C50F90"/>
    <w:lvl w:ilvl="0" w:tentative="0">
      <w:start w:val="1"/>
      <w:numFmt w:val="lowerLetter"/>
      <w:pStyle w:val="38"/>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557C2AF5"/>
    <w:multiLevelType w:val="multilevel"/>
    <w:tmpl w:val="557C2AF5"/>
    <w:lvl w:ilvl="0" w:tentative="0">
      <w:start w:val="1"/>
      <w:numFmt w:val="decimal"/>
      <w:pStyle w:val="1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9">
    <w:nsid w:val="646260FA"/>
    <w:multiLevelType w:val="multilevel"/>
    <w:tmpl w:val="646260FA"/>
    <w:lvl w:ilvl="0" w:tentative="0">
      <w:start w:val="1"/>
      <w:numFmt w:val="decimal"/>
      <w:pStyle w:val="1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pStyle w:val="3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9"/>
  </w:num>
  <w:num w:numId="2">
    <w:abstractNumId w:val="7"/>
  </w:num>
  <w:num w:numId="3">
    <w:abstractNumId w:val="4"/>
  </w:num>
  <w:num w:numId="4">
    <w:abstractNumId w:val="0"/>
  </w:num>
  <w:num w:numId="5">
    <w:abstractNumId w:val="5"/>
  </w:num>
  <w:num w:numId="6">
    <w:abstractNumId w:val="3"/>
  </w:num>
  <w:num w:numId="7">
    <w:abstractNumId w:val="1"/>
  </w:num>
  <w:num w:numId="8">
    <w:abstractNumId w:val="8"/>
  </w:num>
  <w:num w:numId="9">
    <w:abstractNumId w:val="1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MDFmZTBlNTQ5MGM0YTA0MzQ2Y2Y5ODE1OGMxMWQifQ=="/>
  </w:docVars>
  <w:rsids>
    <w:rsidRoot w:val="00172A27"/>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391D"/>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079D3"/>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33FF"/>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42F0"/>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39E595D"/>
    <w:rsid w:val="070F07F6"/>
    <w:rsid w:val="08083403"/>
    <w:rsid w:val="09BE5E2A"/>
    <w:rsid w:val="0A091F73"/>
    <w:rsid w:val="0A8504E9"/>
    <w:rsid w:val="0A8931CB"/>
    <w:rsid w:val="0D92619C"/>
    <w:rsid w:val="0F412CA9"/>
    <w:rsid w:val="0F9242C9"/>
    <w:rsid w:val="0FD566D2"/>
    <w:rsid w:val="13B2170D"/>
    <w:rsid w:val="13B97480"/>
    <w:rsid w:val="14034EB5"/>
    <w:rsid w:val="14870494"/>
    <w:rsid w:val="15085E8C"/>
    <w:rsid w:val="15174F60"/>
    <w:rsid w:val="1556095A"/>
    <w:rsid w:val="167D7F24"/>
    <w:rsid w:val="17306AB5"/>
    <w:rsid w:val="17373F64"/>
    <w:rsid w:val="19A054D6"/>
    <w:rsid w:val="1B0717C8"/>
    <w:rsid w:val="1BE33681"/>
    <w:rsid w:val="21862EC6"/>
    <w:rsid w:val="227607BF"/>
    <w:rsid w:val="237A2B2A"/>
    <w:rsid w:val="2C4F36F5"/>
    <w:rsid w:val="2D5F22BD"/>
    <w:rsid w:val="2FF37D11"/>
    <w:rsid w:val="3013049D"/>
    <w:rsid w:val="332C3D99"/>
    <w:rsid w:val="365875C5"/>
    <w:rsid w:val="39356049"/>
    <w:rsid w:val="3B4E60E4"/>
    <w:rsid w:val="3BFE2074"/>
    <w:rsid w:val="3D8F3346"/>
    <w:rsid w:val="3F8C7277"/>
    <w:rsid w:val="3FA0222F"/>
    <w:rsid w:val="42D769B6"/>
    <w:rsid w:val="44F600D3"/>
    <w:rsid w:val="45617704"/>
    <w:rsid w:val="48B048DB"/>
    <w:rsid w:val="4B8C0594"/>
    <w:rsid w:val="4C0F7B1B"/>
    <w:rsid w:val="4CFE380A"/>
    <w:rsid w:val="4D862B8C"/>
    <w:rsid w:val="4DFF35F5"/>
    <w:rsid w:val="4EF47599"/>
    <w:rsid w:val="4FE3578A"/>
    <w:rsid w:val="54E94B5B"/>
    <w:rsid w:val="55661639"/>
    <w:rsid w:val="55761622"/>
    <w:rsid w:val="55861280"/>
    <w:rsid w:val="5A582FE6"/>
    <w:rsid w:val="5A6A2C66"/>
    <w:rsid w:val="5BD857FA"/>
    <w:rsid w:val="5C080481"/>
    <w:rsid w:val="5D751961"/>
    <w:rsid w:val="5E202145"/>
    <w:rsid w:val="5F621BCD"/>
    <w:rsid w:val="6031647B"/>
    <w:rsid w:val="62F74A7A"/>
    <w:rsid w:val="643318EB"/>
    <w:rsid w:val="647063A0"/>
    <w:rsid w:val="668E2223"/>
    <w:rsid w:val="6791752A"/>
    <w:rsid w:val="683026D9"/>
    <w:rsid w:val="693F388B"/>
    <w:rsid w:val="6DBA21A1"/>
    <w:rsid w:val="73731F46"/>
    <w:rsid w:val="737C0D4F"/>
    <w:rsid w:val="73FC5591"/>
    <w:rsid w:val="78AF3D07"/>
    <w:rsid w:val="796B1FFD"/>
    <w:rsid w:val="7AF5051C"/>
    <w:rsid w:val="7BBA680A"/>
    <w:rsid w:val="7BE826AE"/>
    <w:rsid w:val="7CCF532E"/>
    <w:rsid w:val="7E00338F"/>
    <w:rsid w:val="7E121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alloon Text"/>
    <w:basedOn w:val="1"/>
    <w:link w:val="35"/>
    <w:semiHidden/>
    <w:unhideWhenUsed/>
    <w:qFormat/>
    <w:uiPriority w:val="0"/>
    <w:rPr>
      <w:sz w:val="18"/>
      <w:szCs w:val="18"/>
    </w:rPr>
  </w:style>
  <w:style w:type="paragraph" w:styleId="3">
    <w:name w:val="footer"/>
    <w:basedOn w:val="1"/>
    <w:link w:val="27"/>
    <w:qFormat/>
    <w:uiPriority w:val="99"/>
    <w:pPr>
      <w:tabs>
        <w:tab w:val="center" w:pos="4153"/>
        <w:tab w:val="right" w:pos="8306"/>
      </w:tabs>
      <w:snapToGrid w:val="0"/>
      <w:jc w:val="left"/>
    </w:pPr>
    <w:rPr>
      <w:sz w:val="18"/>
      <w:szCs w:val="18"/>
    </w:rPr>
  </w:style>
  <w:style w:type="paragraph" w:styleId="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unhideWhenUsed/>
    <w:qFormat/>
    <w:uiPriority w:val="99"/>
    <w:rPr>
      <w:color w:val="0000FF"/>
      <w:u w:val="single"/>
    </w:rPr>
  </w:style>
  <w:style w:type="paragraph" w:customStyle="1" w:styleId="10">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正文表标题"/>
    <w:next w:val="10"/>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2">
    <w:name w:val="正文图标题"/>
    <w:next w:val="10"/>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4">
    <w:name w:val="一级条标题"/>
    <w:next w:val="10"/>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5">
    <w:name w:val="章标题"/>
    <w:next w:val="10"/>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6">
    <w:name w:val="二级条标题"/>
    <w:basedOn w:val="14"/>
    <w:next w:val="10"/>
    <w:qFormat/>
    <w:uiPriority w:val="0"/>
    <w:pPr>
      <w:numPr>
        <w:ilvl w:val="2"/>
      </w:numPr>
      <w:spacing w:before="50" w:after="50"/>
      <w:outlineLvl w:val="3"/>
    </w:pPr>
  </w:style>
  <w:style w:type="paragraph" w:customStyle="1" w:styleId="17">
    <w:name w:val="三级条标题"/>
    <w:basedOn w:val="16"/>
    <w:next w:val="10"/>
    <w:qFormat/>
    <w:uiPriority w:val="0"/>
    <w:pPr>
      <w:numPr>
        <w:ilvl w:val="3"/>
      </w:numPr>
      <w:outlineLvl w:val="4"/>
    </w:pPr>
  </w:style>
  <w:style w:type="paragraph" w:customStyle="1" w:styleId="18">
    <w:name w:val="四级条标题"/>
    <w:basedOn w:val="17"/>
    <w:next w:val="10"/>
    <w:qFormat/>
    <w:uiPriority w:val="0"/>
    <w:pPr>
      <w:numPr>
        <w:ilvl w:val="4"/>
      </w:numPr>
      <w:outlineLvl w:val="5"/>
    </w:pPr>
  </w:style>
  <w:style w:type="paragraph" w:customStyle="1" w:styleId="19">
    <w:name w:val="五级条标题"/>
    <w:basedOn w:val="18"/>
    <w:next w:val="10"/>
    <w:qFormat/>
    <w:uiPriority w:val="0"/>
    <w:pPr>
      <w:numPr>
        <w:ilvl w:val="5"/>
      </w:numPr>
      <w:outlineLvl w:val="6"/>
    </w:pPr>
  </w:style>
  <w:style w:type="paragraph" w:customStyle="1" w:styleId="20">
    <w:name w:val="注："/>
    <w:next w:val="10"/>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1">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2">
    <w:name w:val="附录图标题"/>
    <w:basedOn w:val="1"/>
    <w:next w:val="10"/>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3">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4">
    <w:name w:val="图表脚注说明"/>
    <w:basedOn w:val="1"/>
    <w:qFormat/>
    <w:uiPriority w:val="0"/>
    <w:pPr>
      <w:numPr>
        <w:ilvl w:val="0"/>
        <w:numId w:val="7"/>
      </w:numPr>
    </w:pPr>
    <w:rPr>
      <w:rFonts w:ascii="宋体"/>
      <w:sz w:val="18"/>
      <w:szCs w:val="18"/>
    </w:rPr>
  </w:style>
  <w:style w:type="character" w:customStyle="1" w:styleId="25">
    <w:name w:val="段 Char"/>
    <w:basedOn w:val="8"/>
    <w:link w:val="10"/>
    <w:qFormat/>
    <w:uiPriority w:val="0"/>
    <w:rPr>
      <w:rFonts w:ascii="宋体"/>
      <w:sz w:val="21"/>
      <w:lang w:val="en-US" w:eastAsia="zh-CN" w:bidi="ar-SA"/>
    </w:rPr>
  </w:style>
  <w:style w:type="character" w:customStyle="1" w:styleId="26">
    <w:name w:val="页眉 字符"/>
    <w:basedOn w:val="8"/>
    <w:link w:val="4"/>
    <w:qFormat/>
    <w:uiPriority w:val="0"/>
    <w:rPr>
      <w:kern w:val="2"/>
      <w:sz w:val="18"/>
      <w:szCs w:val="18"/>
    </w:rPr>
  </w:style>
  <w:style w:type="character" w:customStyle="1" w:styleId="27">
    <w:name w:val="页脚 字符"/>
    <w:basedOn w:val="8"/>
    <w:link w:val="3"/>
    <w:qFormat/>
    <w:uiPriority w:val="99"/>
    <w:rPr>
      <w:kern w:val="2"/>
      <w:sz w:val="18"/>
      <w:szCs w:val="18"/>
    </w:rPr>
  </w:style>
  <w:style w:type="paragraph" w:customStyle="1" w:styleId="28">
    <w:name w:val="附录表标题"/>
    <w:basedOn w:val="1"/>
    <w:next w:val="10"/>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29">
    <w:name w:val="List Paragraph"/>
    <w:basedOn w:val="1"/>
    <w:unhideWhenUsed/>
    <w:qFormat/>
    <w:uiPriority w:val="34"/>
    <w:pPr>
      <w:ind w:firstLine="420" w:firstLineChars="200"/>
    </w:pPr>
  </w:style>
  <w:style w:type="paragraph" w:customStyle="1" w:styleId="3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2">
    <w:name w:val="发布"/>
    <w:qFormat/>
    <w:uiPriority w:val="0"/>
    <w:rPr>
      <w:rFonts w:ascii="黑体" w:eastAsia="黑体"/>
      <w:spacing w:val="22"/>
      <w:w w:val="100"/>
      <w:position w:val="3"/>
      <w:sz w:val="28"/>
    </w:rPr>
  </w:style>
  <w:style w:type="paragraph" w:customStyle="1" w:styleId="33">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批注框文本 字符"/>
    <w:basedOn w:val="8"/>
    <w:link w:val="2"/>
    <w:semiHidden/>
    <w:qFormat/>
    <w:uiPriority w:val="0"/>
    <w:rPr>
      <w:rFonts w:ascii="Times New Roman" w:hAnsi="Times New Roman"/>
      <w:kern w:val="2"/>
      <w:sz w:val="18"/>
      <w:szCs w:val="18"/>
    </w:rPr>
  </w:style>
  <w:style w:type="paragraph" w:customStyle="1" w:styleId="36">
    <w:name w:val="标准文件_一级条标题"/>
    <w:basedOn w:val="37"/>
    <w:next w:val="34"/>
    <w:qFormat/>
    <w:uiPriority w:val="0"/>
    <w:pPr>
      <w:numPr>
        <w:ilvl w:val="2"/>
      </w:numPr>
      <w:spacing w:beforeLines="50" w:afterLines="50"/>
      <w:outlineLvl w:val="1"/>
    </w:pPr>
  </w:style>
  <w:style w:type="paragraph" w:customStyle="1" w:styleId="37">
    <w:name w:val="标准文件_章标题"/>
    <w:next w:val="34"/>
    <w:qFormat/>
    <w:uiPriority w:val="0"/>
    <w:pPr>
      <w:numPr>
        <w:ilvl w:val="1"/>
        <w:numId w:val="9"/>
      </w:numPr>
      <w:spacing w:beforeLines="100" w:afterLines="100"/>
      <w:jc w:val="both"/>
      <w:outlineLvl w:val="0"/>
    </w:pPr>
    <w:rPr>
      <w:rFonts w:ascii="黑体" w:hAnsi="Times New Roman" w:eastAsia="黑体" w:cs="Times New Roman"/>
      <w:sz w:val="21"/>
      <w:lang w:val="en-US" w:eastAsia="zh-CN" w:bidi="ar-SA"/>
    </w:rPr>
  </w:style>
  <w:style w:type="paragraph" w:customStyle="1" w:styleId="38">
    <w:name w:val="标准文件_字母编号列项（一级）"/>
    <w:qFormat/>
    <w:uiPriority w:val="0"/>
    <w:pPr>
      <w:numPr>
        <w:ilvl w:val="0"/>
        <w:numId w:val="10"/>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20</Pages>
  <Words>924</Words>
  <Characters>940</Characters>
  <Lines>40</Lines>
  <Paragraphs>11</Paragraphs>
  <TotalTime>2</TotalTime>
  <ScaleCrop>false</ScaleCrop>
  <LinksUpToDate>false</LinksUpToDate>
  <CharactersWithSpaces>940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誰念誰川</cp:lastModifiedBy>
  <cp:lastPrinted>2019-07-10T11:21:00Z</cp:lastPrinted>
  <dcterms:modified xsi:type="dcterms:W3CDTF">2024-12-26T10:20:48Z</dcterms:modified>
  <dc:title>广西地方标准《脱氢枞酸》（征求意见稿）</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A802AC279218490E9C636C3F5666C32F_13</vt:lpwstr>
  </property>
  <property fmtid="{D5CDD505-2E9C-101B-9397-08002B2CF9AE}" pid="4" name="KSOTemplateDocerSaveRecord">
    <vt:lpwstr>eyJoZGlkIjoiNDkyMDFmZTBlNTQ5MGM0YTA0MzQ2Y2Y5ODE1OGMxMWQiLCJ1c2VySWQiOiIxOTA2MDI2MDgifQ==</vt:lpwstr>
  </property>
</Properties>
</file>